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both"/>
        <w:rPr>
          <w:rFonts w:hint="default" w:ascii="Times New Roman" w:hAnsi="Times New Roman" w:cs="Times New Roman"/>
          <w:b/>
          <w:color w:val="auto"/>
          <w:sz w:val="32"/>
          <w:szCs w:val="32"/>
        </w:rPr>
      </w:pPr>
    </w:p>
    <w:p>
      <w:pPr>
        <w:pStyle w:val="19"/>
        <w:rPr>
          <w:rFonts w:hint="default" w:ascii="Times New Roman" w:hAnsi="Times New Roman" w:cs="Times New Roman"/>
          <w:b/>
          <w:color w:val="auto"/>
          <w:sz w:val="32"/>
          <w:szCs w:val="32"/>
        </w:rPr>
      </w:pPr>
    </w:p>
    <w:p>
      <w:pPr>
        <w:pStyle w:val="19"/>
        <w:rPr>
          <w:rFonts w:hint="default" w:ascii="Times New Roman" w:hAnsi="Times New Roman" w:cs="Times New Roman"/>
          <w:b/>
          <w:color w:val="auto"/>
          <w:sz w:val="32"/>
          <w:szCs w:val="32"/>
        </w:rPr>
      </w:pPr>
    </w:p>
    <w:p>
      <w:pPr>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lang w:val="en-US" w:eastAsia="zh-CN"/>
        </w:rPr>
        <w:t>台州市立医院迁建工程二期环</w:t>
      </w:r>
      <w:r>
        <w:rPr>
          <w:rFonts w:hint="default" w:ascii="Times New Roman" w:hAnsi="Times New Roman" w:cs="Times New Roman"/>
          <w:b/>
          <w:color w:val="auto"/>
          <w:sz w:val="32"/>
          <w:szCs w:val="32"/>
        </w:rPr>
        <w:t>境影响评价公示</w:t>
      </w: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19"/>
        <w:rPr>
          <w:rFonts w:hint="default" w:ascii="Times New Roman" w:hAnsi="Times New Roman" w:cs="Times New Roman"/>
          <w:color w:val="auto"/>
          <w:sz w:val="24"/>
          <w:szCs w:val="24"/>
        </w:rPr>
      </w:pPr>
    </w:p>
    <w:p>
      <w:pPr>
        <w:pStyle w:val="19"/>
        <w:rPr>
          <w:rFonts w:hint="default" w:ascii="Times New Roman" w:hAnsi="Times New Roman" w:cs="Times New Roman"/>
          <w:color w:val="auto"/>
          <w:sz w:val="24"/>
          <w:szCs w:val="24"/>
        </w:rPr>
      </w:pPr>
    </w:p>
    <w:p>
      <w:pPr>
        <w:pStyle w:val="19"/>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26"/>
        <w:ind w:firstLine="480"/>
        <w:rPr>
          <w:rFonts w:hint="default" w:ascii="Times New Roman" w:hAnsi="Times New Roman" w:cs="Times New Roman"/>
          <w:color w:val="auto"/>
          <w:sz w:val="24"/>
          <w:szCs w:val="24"/>
        </w:rPr>
      </w:pPr>
    </w:p>
    <w:p>
      <w:pPr>
        <w:pStyle w:val="8"/>
        <w:snapToGrid w:val="0"/>
        <w:spacing w:line="360" w:lineRule="auto"/>
        <w:ind w:left="0" w:leftChars="0"/>
        <w:jc w:val="center"/>
        <w:rPr>
          <w:rFonts w:hint="default" w:ascii="Times New Roman" w:hAnsi="Times New Roman" w:cs="Times New Roman"/>
          <w:b/>
          <w:color w:val="auto"/>
          <w:sz w:val="32"/>
          <w:szCs w:val="32"/>
          <w:lang w:val="en-US" w:eastAsia="zh-CN"/>
        </w:rPr>
      </w:pPr>
      <w:r>
        <w:rPr>
          <w:rFonts w:hint="default" w:ascii="Times New Roman" w:hAnsi="Times New Roman" w:cs="Times New Roman"/>
          <w:b/>
          <w:color w:val="auto"/>
          <w:sz w:val="32"/>
          <w:szCs w:val="32"/>
          <w:lang w:val="en-US" w:eastAsia="zh-CN"/>
        </w:rPr>
        <w:t>台州市立医院</w:t>
      </w:r>
    </w:p>
    <w:p>
      <w:pPr>
        <w:pStyle w:val="8"/>
        <w:snapToGrid w:val="0"/>
        <w:spacing w:line="360" w:lineRule="auto"/>
        <w:ind w:left="0" w:leftChars="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30"/>
          <w:szCs w:val="30"/>
        </w:rPr>
        <w:t>二O</w:t>
      </w:r>
      <w:r>
        <w:rPr>
          <w:rFonts w:hint="default" w:ascii="Times New Roman" w:hAnsi="Times New Roman" w:cs="Times New Roman"/>
          <w:b/>
          <w:bCs/>
          <w:color w:val="auto"/>
          <w:sz w:val="30"/>
          <w:szCs w:val="30"/>
          <w:lang w:eastAsia="zh-CN"/>
        </w:rPr>
        <w:t>二</w:t>
      </w:r>
      <w:r>
        <w:rPr>
          <w:rFonts w:hint="eastAsia" w:cs="Times New Roman"/>
          <w:b/>
          <w:bCs/>
          <w:color w:val="auto"/>
          <w:sz w:val="30"/>
          <w:szCs w:val="30"/>
          <w:lang w:eastAsia="zh-CN"/>
        </w:rPr>
        <w:t>三</w:t>
      </w:r>
      <w:r>
        <w:rPr>
          <w:rFonts w:hint="default" w:ascii="Times New Roman" w:hAnsi="Times New Roman" w:cs="Times New Roman"/>
          <w:b/>
          <w:bCs/>
          <w:color w:val="auto"/>
          <w:sz w:val="30"/>
          <w:szCs w:val="30"/>
        </w:rPr>
        <w:t>年</w:t>
      </w:r>
      <w:r>
        <w:rPr>
          <w:rFonts w:hint="eastAsia" w:cs="Times New Roman"/>
          <w:b/>
          <w:bCs/>
          <w:color w:val="auto"/>
          <w:sz w:val="30"/>
          <w:szCs w:val="30"/>
          <w:lang w:val="en-US" w:eastAsia="zh-CN"/>
        </w:rPr>
        <w:t>十一</w:t>
      </w:r>
      <w:r>
        <w:rPr>
          <w:rFonts w:hint="default" w:ascii="Times New Roman" w:hAnsi="Times New Roman" w:cs="Times New Roman"/>
          <w:b/>
          <w:bCs/>
          <w:color w:val="auto"/>
          <w:sz w:val="30"/>
          <w:szCs w:val="30"/>
          <w:lang w:eastAsia="zh-CN"/>
        </w:rPr>
        <w:t>月</w:t>
      </w:r>
    </w:p>
    <w:p>
      <w:pPr>
        <w:rPr>
          <w:rFonts w:hint="default" w:ascii="Times New Roman" w:hAnsi="Times New Roman" w:cs="Times New Roman"/>
          <w:color w:val="auto"/>
          <w:sz w:val="24"/>
          <w:szCs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keepNext/>
        <w:keepLines/>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b/>
          <w:color w:val="auto"/>
          <w:sz w:val="32"/>
          <w:szCs w:val="32"/>
        </w:rPr>
      </w:pPr>
      <w:r>
        <w:rPr>
          <w:rFonts w:hint="default" w:ascii="Times New Roman" w:hAnsi="Times New Roman" w:cs="Times New Roman"/>
          <w:b/>
          <w:color w:val="auto"/>
          <w:sz w:val="32"/>
          <w:szCs w:val="32"/>
          <w:lang w:val="en-US" w:eastAsia="zh-CN"/>
        </w:rPr>
        <w:t>台州市立医院迁建工程二期</w:t>
      </w:r>
      <w:r>
        <w:rPr>
          <w:rFonts w:hint="default" w:ascii="Times New Roman" w:hAnsi="Times New Roman" w:cs="Times New Roman"/>
          <w:b/>
          <w:color w:val="auto"/>
          <w:sz w:val="32"/>
          <w:szCs w:val="32"/>
        </w:rPr>
        <w:t>环境影响评价公示</w:t>
      </w:r>
    </w:p>
    <w:p>
      <w:pPr>
        <w:keepNext/>
        <w:keepLines/>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cs="Times New Roman"/>
          <w:b/>
          <w:color w:val="auto"/>
          <w:szCs w:val="21"/>
        </w:rPr>
      </w:pPr>
    </w:p>
    <w:p>
      <w:pPr>
        <w:keepNext/>
        <w:keepLines/>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一、建设项目基本情况</w:t>
      </w:r>
    </w:p>
    <w:p>
      <w:pPr>
        <w:keepNext/>
        <w:keepLines/>
        <w:pageBreakBefore w:val="0"/>
        <w:widowControl w:val="0"/>
        <w:kinsoku/>
        <w:wordWrap/>
        <w:overflowPunct/>
        <w:topLinePunct w:val="0"/>
        <w:autoSpaceDE/>
        <w:autoSpaceDN/>
        <w:bidi w:val="0"/>
        <w:adjustRightInd w:val="0"/>
        <w:snapToGrid/>
        <w:spacing w:line="360" w:lineRule="auto"/>
        <w:ind w:firstLine="48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项目名称：</w:t>
      </w:r>
      <w:r>
        <w:rPr>
          <w:rFonts w:hint="default" w:ascii="Times New Roman" w:hAnsi="Times New Roman" w:cs="Times New Roman"/>
          <w:color w:val="auto"/>
          <w:szCs w:val="21"/>
          <w:lang w:val="en-US" w:eastAsia="zh-CN"/>
        </w:rPr>
        <w:t>台州市立医院迁建工程二期</w:t>
      </w:r>
    </w:p>
    <w:p>
      <w:pPr>
        <w:keepNext/>
        <w:keepLines/>
        <w:pageBreakBefore w:val="0"/>
        <w:widowControl w:val="0"/>
        <w:kinsoku/>
        <w:wordWrap/>
        <w:overflowPunct/>
        <w:topLinePunct w:val="0"/>
        <w:autoSpaceDE/>
        <w:autoSpaceDN/>
        <w:bidi w:val="0"/>
        <w:adjustRightInd w:val="0"/>
        <w:snapToGrid/>
        <w:spacing w:line="360" w:lineRule="auto"/>
        <w:ind w:firstLine="48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主要建设内容及规模：台州市立医院新院区二期为新建工程，建筑面积93218.15平方米，其中地上建筑面积65560平方米，地下建筑面积27659平方米。主要建设行政后勤楼、医疗医技楼（含208张床位）、学生专家公寓楼、公共卫生中心（含90张床位）、高压氧舱、连廊等，以及道路、绿化、给排水等配套设施。</w:t>
      </w:r>
    </w:p>
    <w:p>
      <w:pPr>
        <w:keepNext/>
        <w:keepLines/>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二、环境影响评价范围内主要环境敏感目标分布情况</w:t>
      </w:r>
    </w:p>
    <w:p>
      <w:pPr>
        <w:keepNext/>
        <w:keepLines/>
        <w:pageBreakBefore w:val="0"/>
        <w:widowControl w:val="0"/>
        <w:kinsoku/>
        <w:wordWrap/>
        <w:overflowPunct/>
        <w:topLinePunct w:val="0"/>
        <w:autoSpaceDE/>
        <w:autoSpaceDN/>
        <w:bidi w:val="0"/>
        <w:adjustRightInd w:val="0"/>
        <w:snapToGrid/>
        <w:spacing w:line="360" w:lineRule="auto"/>
        <w:ind w:firstLine="48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本项目评价范围内主要敏感目标分布详见表1和图1。</w:t>
      </w:r>
    </w:p>
    <w:p>
      <w:pPr>
        <w:pStyle w:val="19"/>
        <w:jc w:val="center"/>
        <w:rPr>
          <w:rFonts w:hint="default" w:ascii="Times New Roman" w:hAnsi="Times New Roman" w:cs="Times New Roman" w:eastAsiaTheme="minorEastAsia"/>
          <w:b/>
          <w:color w:val="auto"/>
          <w:kern w:val="2"/>
          <w:sz w:val="21"/>
          <w:szCs w:val="22"/>
          <w:highlight w:val="none"/>
          <w:lang w:val="en-US" w:eastAsia="zh-CN" w:bidi="ar-SA"/>
        </w:rPr>
      </w:pPr>
      <w:r>
        <w:rPr>
          <w:rFonts w:hint="default" w:ascii="Times New Roman" w:hAnsi="Times New Roman" w:cs="Times New Roman" w:eastAsiaTheme="minorEastAsia"/>
          <w:b/>
          <w:color w:val="auto"/>
          <w:kern w:val="2"/>
          <w:sz w:val="21"/>
          <w:szCs w:val="22"/>
          <w:highlight w:val="none"/>
          <w:lang w:val="en-US" w:eastAsia="zh-CN" w:bidi="ar-SA"/>
        </w:rPr>
        <w:t>表1  主要环境保护目标一览表</w:t>
      </w:r>
    </w:p>
    <w:tbl>
      <w:tblPr>
        <w:tblStyle w:val="13"/>
        <w:tblW w:w="830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57" w:type="dxa"/>
          <w:bottom w:w="0" w:type="dxa"/>
          <w:right w:w="57" w:type="dxa"/>
        </w:tblCellMar>
      </w:tblPr>
      <w:tblGrid>
        <w:gridCol w:w="576"/>
        <w:gridCol w:w="1581"/>
        <w:gridCol w:w="1494"/>
        <w:gridCol w:w="1593"/>
        <w:gridCol w:w="775"/>
        <w:gridCol w:w="621"/>
        <w:gridCol w:w="543"/>
        <w:gridCol w:w="535"/>
        <w:gridCol w:w="5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restart"/>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环境要素</w:t>
            </w:r>
          </w:p>
        </w:tc>
        <w:tc>
          <w:tcPr>
            <w:tcW w:w="1581"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名称</w:t>
            </w:r>
          </w:p>
        </w:tc>
        <w:tc>
          <w:tcPr>
            <w:tcW w:w="3087" w:type="dxa"/>
            <w:gridSpan w:val="2"/>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坐标</w:t>
            </w:r>
          </w:p>
        </w:tc>
        <w:tc>
          <w:tcPr>
            <w:tcW w:w="775"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保护对象</w:t>
            </w:r>
          </w:p>
        </w:tc>
        <w:tc>
          <w:tcPr>
            <w:tcW w:w="621"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保护</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内容</w:t>
            </w:r>
          </w:p>
        </w:tc>
        <w:tc>
          <w:tcPr>
            <w:tcW w:w="543"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环境</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功能区</w:t>
            </w:r>
          </w:p>
        </w:tc>
        <w:tc>
          <w:tcPr>
            <w:tcW w:w="535"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相对厂址方位</w:t>
            </w:r>
          </w:p>
        </w:tc>
        <w:tc>
          <w:tcPr>
            <w:tcW w:w="588"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相对厂界距离/m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1581"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1494"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经度</w:t>
            </w:r>
          </w:p>
        </w:tc>
        <w:tc>
          <w:tcPr>
            <w:tcW w:w="1593"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纬度</w:t>
            </w:r>
          </w:p>
        </w:tc>
        <w:tc>
          <w:tcPr>
            <w:tcW w:w="775"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621"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88" w:type="dxa"/>
            <w:vMerge w:val="continue"/>
            <w:noWrap w:val="0"/>
            <w:vAlign w:val="center"/>
          </w:tcPr>
          <w:p>
            <w:pPr>
              <w:jc w:val="center"/>
              <w:rPr>
                <w:rFonts w:ascii="Times New Roman" w:hAnsi="Times New Roman"/>
                <w:color w:val="000000" w:themeColor="text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restart"/>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环境空气</w:t>
            </w:r>
          </w:p>
        </w:tc>
        <w:tc>
          <w:tcPr>
            <w:tcW w:w="1581"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启智幼儿园</w:t>
            </w:r>
          </w:p>
        </w:tc>
        <w:tc>
          <w:tcPr>
            <w:tcW w:w="1494"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121°27′21.082″</w:t>
            </w:r>
          </w:p>
        </w:tc>
        <w:tc>
          <w:tcPr>
            <w:tcW w:w="1593"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28°39′21.188″</w:t>
            </w:r>
          </w:p>
        </w:tc>
        <w:tc>
          <w:tcPr>
            <w:tcW w:w="77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幼儿园</w:t>
            </w:r>
          </w:p>
        </w:tc>
        <w:tc>
          <w:tcPr>
            <w:tcW w:w="621"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restart"/>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二类区</w:t>
            </w:r>
          </w:p>
        </w:tc>
        <w:tc>
          <w:tcPr>
            <w:tcW w:w="5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NE</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5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民辉小区西苑</w:t>
            </w:r>
          </w:p>
        </w:tc>
        <w:tc>
          <w:tcPr>
            <w:tcW w:w="1494"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121°27′23.264″</w:t>
            </w:r>
          </w:p>
        </w:tc>
        <w:tc>
          <w:tcPr>
            <w:tcW w:w="1593"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28°39′14.574″</w:t>
            </w:r>
          </w:p>
        </w:tc>
        <w:tc>
          <w:tcPr>
            <w:tcW w:w="775" w:type="dxa"/>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E</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碧水苑</w:t>
            </w:r>
          </w:p>
        </w:tc>
        <w:tc>
          <w:tcPr>
            <w:tcW w:w="1494" w:type="dxa"/>
            <w:tcBorders>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121°27′31.646″</w:t>
            </w:r>
          </w:p>
        </w:tc>
        <w:tc>
          <w:tcPr>
            <w:tcW w:w="1593" w:type="dxa"/>
            <w:tcBorders>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28°39′7.428″</w:t>
            </w:r>
          </w:p>
        </w:tc>
        <w:tc>
          <w:tcPr>
            <w:tcW w:w="775" w:type="dxa"/>
            <w:tcBorders>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E</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高闸村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121°27′17.471″</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28°39′0.901″</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SE</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台州市人才公寓幼儿园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121°26′57.271″</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28°38′53.215″</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幼儿园</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台州市人才公寓</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121°26′59.665″</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28°38′55.870″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天辰誉府</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121°26′56.537″</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28°38′50.637″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海城佳苑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121°26′47.286″</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28°39′1.123″</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w:t>
            </w:r>
          </w:p>
        </w:tc>
        <w:tc>
          <w:tcPr>
            <w:tcW w:w="588" w:type="dxa"/>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365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赞扬南苑</w:t>
            </w:r>
          </w:p>
        </w:tc>
        <w:tc>
          <w:tcPr>
            <w:tcW w:w="1494"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121°26′46.823″</w:t>
            </w:r>
          </w:p>
        </w:tc>
        <w:tc>
          <w:tcPr>
            <w:tcW w:w="1593"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28°39′0.737″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w:t>
            </w:r>
          </w:p>
        </w:tc>
        <w:tc>
          <w:tcPr>
            <w:tcW w:w="588" w:type="dxa"/>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青春华庭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121°26′41.609″</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28°39′7.081″</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熙悦府</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121°26′51.815″</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28°39′6.057″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禧悦府</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121°26′46.572″</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28°39′6.250″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赞扬</w:t>
            </w:r>
            <w:r>
              <w:rPr>
                <w:rFonts w:hint="eastAsia" w:ascii="Times New Roman" w:hAnsi="Times New Roman"/>
                <w:color w:val="000000" w:themeColor="text1"/>
                <w:lang w:eastAsia="zh-CN"/>
                <w14:textFill>
                  <w14:solidFill>
                    <w14:schemeClr w14:val="tx1"/>
                  </w14:solidFill>
                </w14:textFill>
              </w:rPr>
              <w:t>北苑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121°26′49.662″</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28°39′14.226″</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景联东苑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121°26′42.439″</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28°39′10.789″</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椒江区科技创业服务中心</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121°26′47.055″</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28°39′9.263″</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办公</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人群</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东星茗苑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121°27′2.388″</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28°39′18.880″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临水苑</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121°27′7.274″</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28°39′17.490″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椒江区疾病预防控制中心</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121°26′56.962″</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28°39′15.694″</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办公</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人群</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百姓家园幼儿园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121°27′5.420″</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28°39′27.030″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幼儿园</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百姓家园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121°27′8.626″</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28°39′23.110″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文昌第一小学</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121°27′14.555″</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28°39′28.382″</w:t>
            </w:r>
          </w:p>
        </w:tc>
        <w:tc>
          <w:tcPr>
            <w:tcW w:w="775"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小学</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文萃园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121°26′54.567″</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28°39′32.939″</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都市青春</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121°26′56.788″</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28°39′29.656″</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海门小学</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121°26′45.857″</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28°39′33.905″</w:t>
            </w:r>
          </w:p>
        </w:tc>
        <w:tc>
          <w:tcPr>
            <w:tcW w:w="775"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小学</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岭南小区</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121°26′42.362″</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28°39′32.746″</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星辉小区</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121°26′52.037″</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28°39′25.697″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tabs>
                <w:tab w:val="left" w:pos="226"/>
              </w:tabs>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朝晖小区</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121°27′23.380″</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28°39′30.294″</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NE</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星辉国际幼儿园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121°26′40.923″</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28°39′23.486″</w:t>
            </w:r>
          </w:p>
        </w:tc>
        <w:tc>
          <w:tcPr>
            <w:tcW w:w="775"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幼儿园</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师生</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聚英家园</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121°27′5.893″</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28°38′54.827″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方远</w:t>
            </w:r>
            <w:r>
              <w:rPr>
                <w:rFonts w:hint="eastAsia" w:ascii="Times New Roman" w:hAnsi="Times New Roman"/>
                <w:color w:val="000000" w:themeColor="text1"/>
                <w14:textFill>
                  <w14:solidFill>
                    <w14:schemeClr w14:val="tx1"/>
                  </w14:solidFill>
                </w14:textFill>
              </w:rPr>
              <w:t>天澜青春</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121°26′56.942″</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28°39′11.040″</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w:t>
            </w:r>
          </w:p>
        </w:tc>
        <w:tc>
          <w:tcPr>
            <w:tcW w:w="588"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翡翠云邸</w:t>
            </w:r>
          </w:p>
        </w:tc>
        <w:tc>
          <w:tcPr>
            <w:tcW w:w="1494" w:type="dxa"/>
            <w:tcBorders>
              <w:top w:val="single" w:color="auto" w:sz="4" w:space="0"/>
              <w:bottom w:val="single" w:color="auto" w:sz="4" w:space="0"/>
            </w:tcBorders>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t>121°27′0.534″</w:t>
            </w:r>
          </w:p>
        </w:tc>
        <w:tc>
          <w:tcPr>
            <w:tcW w:w="1593" w:type="dxa"/>
            <w:tcBorders>
              <w:top w:val="single" w:color="auto" w:sz="4" w:space="0"/>
              <w:bottom w:val="single" w:color="auto" w:sz="4" w:space="0"/>
            </w:tcBorders>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t>28°39′1.167″</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S</w:t>
            </w:r>
          </w:p>
        </w:tc>
        <w:tc>
          <w:tcPr>
            <w:tcW w:w="588" w:type="dxa"/>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规划居住用地</w:t>
            </w:r>
            <w:r>
              <w:rPr>
                <w:rFonts w:hint="eastAsia" w:ascii="Times New Roman" w:hAnsi="Times New Roman"/>
                <w:color w:val="000000" w:themeColor="text1"/>
                <w:lang w:val="en-US" w:eastAsia="zh-CN"/>
                <w14:textFill>
                  <w14:solidFill>
                    <w14:schemeClr w14:val="tx1"/>
                  </w14:solidFill>
                </w14:textFill>
              </w:rPr>
              <w:t>1</w:t>
            </w:r>
          </w:p>
        </w:tc>
        <w:tc>
          <w:tcPr>
            <w:tcW w:w="1494"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121°27′26.181″</w:t>
            </w:r>
          </w:p>
        </w:tc>
        <w:tc>
          <w:tcPr>
            <w:tcW w:w="1593"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28°39′26.885″</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NE</w:t>
            </w:r>
          </w:p>
        </w:tc>
        <w:tc>
          <w:tcPr>
            <w:tcW w:w="588" w:type="dxa"/>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default"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规划居住用地</w:t>
            </w:r>
            <w:r>
              <w:rPr>
                <w:rFonts w:hint="eastAsia" w:ascii="Times New Roman" w:hAnsi="Times New Roman"/>
                <w:color w:val="000000" w:themeColor="text1"/>
                <w:lang w:val="en-US" w:eastAsia="zh-CN"/>
                <w14:textFill>
                  <w14:solidFill>
                    <w14:schemeClr w14:val="tx1"/>
                  </w14:solidFill>
                </w14:textFill>
              </w:rPr>
              <w:t>2</w:t>
            </w:r>
          </w:p>
        </w:tc>
        <w:tc>
          <w:tcPr>
            <w:tcW w:w="1494"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121°27′22.511″</w:t>
            </w:r>
          </w:p>
        </w:tc>
        <w:tc>
          <w:tcPr>
            <w:tcW w:w="1593"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28°39′6.762″</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kern w:val="2"/>
                <w:sz w:val="21"/>
                <w:szCs w:val="24"/>
                <w:lang w:val="en-US" w:eastAsia="zh-CN" w:bidi="ar-SA"/>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E</w:t>
            </w:r>
          </w:p>
        </w:tc>
        <w:tc>
          <w:tcPr>
            <w:tcW w:w="588" w:type="dxa"/>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576" w:type="dxa"/>
            <w:vMerge w:val="continue"/>
            <w:tcBorders>
              <w:bottom w:val="single" w:color="auto" w:sz="4" w:space="0"/>
            </w:tcBorders>
            <w:noWrap w:val="0"/>
            <w:vAlign w:val="center"/>
          </w:tcPr>
          <w:p>
            <w:pPr>
              <w:jc w:val="center"/>
              <w:rPr>
                <w:rFonts w:hint="eastAsia" w:ascii="Times New Roman" w:hAnsi="Times New Roman"/>
                <w:color w:val="000000" w:themeColor="text1"/>
                <w14:textFill>
                  <w14:solidFill>
                    <w14:schemeClr w14:val="tx1"/>
                  </w14:solidFill>
                </w14:textFill>
              </w:rPr>
            </w:pPr>
          </w:p>
        </w:tc>
        <w:tc>
          <w:tcPr>
            <w:tcW w:w="1581" w:type="dxa"/>
            <w:tcBorders>
              <w:top w:val="single" w:color="auto" w:sz="4" w:space="0"/>
              <w:bottom w:val="single" w:color="auto" w:sz="4" w:space="0"/>
            </w:tcBorders>
            <w:noWrap w:val="0"/>
            <w:vAlign w:val="center"/>
          </w:tcPr>
          <w:p>
            <w:pPr>
              <w:jc w:val="center"/>
              <w:rPr>
                <w:rFonts w:hint="default"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规划居住用地</w:t>
            </w:r>
            <w:r>
              <w:rPr>
                <w:rFonts w:hint="eastAsia" w:ascii="Times New Roman" w:hAnsi="Times New Roman"/>
                <w:color w:val="000000" w:themeColor="text1"/>
                <w:lang w:val="en-US" w:eastAsia="zh-CN"/>
                <w14:textFill>
                  <w14:solidFill>
                    <w14:schemeClr w14:val="tx1"/>
                  </w14:solidFill>
                </w14:textFill>
              </w:rPr>
              <w:t>3</w:t>
            </w:r>
          </w:p>
        </w:tc>
        <w:tc>
          <w:tcPr>
            <w:tcW w:w="1494"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121°27′22.434″</w:t>
            </w:r>
          </w:p>
        </w:tc>
        <w:tc>
          <w:tcPr>
            <w:tcW w:w="1593" w:type="dxa"/>
            <w:tcBorders>
              <w:top w:val="single" w:color="auto" w:sz="4" w:space="0"/>
              <w:bottom w:val="single" w:color="auto" w:sz="4" w:space="0"/>
            </w:tcBorders>
            <w:noWrap w:val="0"/>
            <w:vAlign w:val="center"/>
          </w:tcPr>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28°38′51.931″</w:t>
            </w:r>
          </w:p>
        </w:tc>
        <w:tc>
          <w:tcPr>
            <w:tcW w:w="775"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居</w:t>
            </w:r>
            <w:r>
              <w:rPr>
                <w:rFonts w:hint="eastAsia" w:ascii="Times New Roman" w:hAnsi="Times New Roman"/>
                <w:color w:val="000000" w:themeColor="text1"/>
                <w14:textFill>
                  <w14:solidFill>
                    <w14:schemeClr w14:val="tx1"/>
                  </w14:solidFill>
                </w14:textFill>
              </w:rPr>
              <w:t>民</w:t>
            </w:r>
            <w:r>
              <w:rPr>
                <w:rFonts w:ascii="Times New Roman" w:hAnsi="Times New Roman"/>
                <w:color w:val="000000" w:themeColor="text1"/>
                <w14:textFill>
                  <w14:solidFill>
                    <w14:schemeClr w14:val="tx1"/>
                  </w14:solidFill>
                </w14:textFill>
              </w:rPr>
              <w:t>区</w:t>
            </w:r>
          </w:p>
        </w:tc>
        <w:tc>
          <w:tcPr>
            <w:tcW w:w="621" w:type="dxa"/>
            <w:tcBorders>
              <w:top w:val="single" w:color="auto" w:sz="4" w:space="0"/>
              <w:bottom w:val="single" w:color="auto" w:sz="4" w:space="0"/>
            </w:tcBorders>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居民</w:t>
            </w:r>
          </w:p>
        </w:tc>
        <w:tc>
          <w:tcPr>
            <w:tcW w:w="543" w:type="dxa"/>
            <w:vMerge w:val="continue"/>
            <w:noWrap w:val="0"/>
            <w:vAlign w:val="center"/>
          </w:tcPr>
          <w:p>
            <w:pPr>
              <w:jc w:val="center"/>
              <w:rPr>
                <w:rFonts w:ascii="Times New Roman" w:hAnsi="Times New Roman"/>
                <w:color w:val="000000" w:themeColor="text1"/>
                <w14:textFill>
                  <w14:solidFill>
                    <w14:schemeClr w14:val="tx1"/>
                  </w14:solidFill>
                </w14:textFill>
              </w:rPr>
            </w:pPr>
          </w:p>
        </w:tc>
        <w:tc>
          <w:tcPr>
            <w:tcW w:w="535" w:type="dxa"/>
            <w:noWrap w:val="0"/>
            <w:vAlign w:val="center"/>
          </w:tcPr>
          <w:p>
            <w:pPr>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SE</w:t>
            </w:r>
          </w:p>
        </w:tc>
        <w:tc>
          <w:tcPr>
            <w:tcW w:w="588" w:type="dxa"/>
            <w:noWrap w:val="0"/>
            <w:vAlign w:val="center"/>
          </w:tcPr>
          <w:p>
            <w:pPr>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460</w:t>
            </w:r>
          </w:p>
        </w:tc>
      </w:tr>
    </w:tbl>
    <w:p>
      <w:pPr>
        <w:pStyle w:val="4"/>
        <w:ind w:left="0" w:leftChars="0" w:firstLine="0" w:firstLineChars="0"/>
        <w:rPr>
          <w:rFonts w:hint="default"/>
          <w:lang w:val="en-US" w:eastAsia="zh-CN"/>
        </w:rPr>
      </w:pPr>
      <w:r>
        <w:rPr>
          <w:rFonts w:hint="default"/>
          <w:lang w:val="en-US" w:eastAsia="zh-CN"/>
        </w:rPr>
        <w:drawing>
          <wp:inline distT="0" distB="0" distL="114300" distR="114300">
            <wp:extent cx="5273040" cy="3889375"/>
            <wp:effectExtent l="9525" t="9525" r="13335" b="25400"/>
            <wp:docPr id="1" name="图片 1" descr="16999243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9924393445"/>
                    <pic:cNvPicPr>
                      <a:picLocks noChangeAspect="1"/>
                    </pic:cNvPicPr>
                  </pic:nvPicPr>
                  <pic:blipFill>
                    <a:blip r:embed="rId7"/>
                    <a:stretch>
                      <a:fillRect/>
                    </a:stretch>
                  </pic:blipFill>
                  <pic:spPr>
                    <a:xfrm>
                      <a:off x="0" y="0"/>
                      <a:ext cx="5273040" cy="3889375"/>
                    </a:xfrm>
                    <a:prstGeom prst="rect">
                      <a:avLst/>
                    </a:prstGeom>
                    <a:ln>
                      <a:solidFill>
                        <a:schemeClr val="tx1"/>
                      </a:solidFill>
                    </a:ln>
                  </pic:spPr>
                </pic:pic>
              </a:graphicData>
            </a:graphic>
          </wp:inline>
        </w:drawing>
      </w:r>
    </w:p>
    <w:p>
      <w:pPr>
        <w:pStyle w:val="25"/>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7317105</wp:posOffset>
                </wp:positionH>
                <wp:positionV relativeFrom="paragraph">
                  <wp:posOffset>1412875</wp:posOffset>
                </wp:positionV>
                <wp:extent cx="1112520" cy="328295"/>
                <wp:effectExtent l="0" t="0" r="0" b="433705"/>
                <wp:wrapNone/>
                <wp:docPr id="3" name="矩形标注 3"/>
                <wp:cNvGraphicFramePr/>
                <a:graphic xmlns:a="http://schemas.openxmlformats.org/drawingml/2006/main">
                  <a:graphicData uri="http://schemas.microsoft.com/office/word/2010/wordprocessingShape">
                    <wps:wsp>
                      <wps:cNvSpPr/>
                      <wps:spPr>
                        <a:xfrm>
                          <a:off x="0" y="0"/>
                          <a:ext cx="1112520" cy="328295"/>
                        </a:xfrm>
                        <a:prstGeom prst="wedgeRectCallout">
                          <a:avLst>
                            <a:gd name="adj1" fmla="val -40296"/>
                            <a:gd name="adj2" fmla="val 181333"/>
                          </a:avLst>
                        </a:prstGeom>
                        <a:solidFill>
                          <a:srgbClr val="FFFFFF"/>
                        </a:solidFill>
                        <a:ln>
                          <a:noFill/>
                        </a:ln>
                      </wps:spPr>
                      <wps:txbx>
                        <w:txbxContent>
                          <w:p>
                            <w:pPr>
                              <w:ind w:firstLine="0" w:firstLineChars="0"/>
                            </w:pPr>
                            <w:r>
                              <w:rPr>
                                <w:rFonts w:hint="eastAsia"/>
                              </w:rPr>
                              <w:t>500m范围线</w:t>
                            </w:r>
                          </w:p>
                        </w:txbxContent>
                      </wps:txbx>
                      <wps:bodyPr upright="1"/>
                    </wps:wsp>
                  </a:graphicData>
                </a:graphic>
              </wp:anchor>
            </w:drawing>
          </mc:Choice>
          <mc:Fallback>
            <w:pict>
              <v:shape id="_x0000_s1026" o:spid="_x0000_s1026" o:spt="61" type="#_x0000_t61" style="position:absolute;left:0pt;margin-left:576.15pt;margin-top:111.25pt;height:25.85pt;width:87.6pt;z-index:251661312;mso-width-relative:page;mso-height-relative:page;" fillcolor="#FFFFFF" filled="t" stroked="f" coordsize="21600,21600" o:gfxdata="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j3El2QAAAA0BAAAPAAAAAAAAAAEAIAAAACIAAABkcnMvZG93bnJldi54bWxQSwECFAAU&#10;AAAACACHTuJALoE3b/ABAADPAwAADgAAAAAAAAABACAAAAAoAQAAZHJzL2Uyb0RvYy54bWxQSwUG&#10;AAAAAAYABgBZAQAAigUAAAAA&#10;" adj="2096,49968">
                <v:fill on="t" focussize="0,0"/>
                <v:stroke on="f"/>
                <v:imagedata o:title=""/>
                <o:lock v:ext="edit" aspectratio="f"/>
                <v:textbox>
                  <w:txbxContent>
                    <w:p>
                      <w:pPr>
                        <w:ind w:firstLine="0" w:firstLineChars="0"/>
                      </w:pPr>
                      <w:r>
                        <w:rPr>
                          <w:rFonts w:hint="eastAsia"/>
                        </w:rPr>
                        <w:t>500m范围线</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7469505</wp:posOffset>
                </wp:positionH>
                <wp:positionV relativeFrom="paragraph">
                  <wp:posOffset>1565275</wp:posOffset>
                </wp:positionV>
                <wp:extent cx="1112520" cy="328295"/>
                <wp:effectExtent l="0" t="0" r="0" b="433705"/>
                <wp:wrapNone/>
                <wp:docPr id="5" name="矩形标注 5"/>
                <wp:cNvGraphicFramePr/>
                <a:graphic xmlns:a="http://schemas.openxmlformats.org/drawingml/2006/main">
                  <a:graphicData uri="http://schemas.microsoft.com/office/word/2010/wordprocessingShape">
                    <wps:wsp>
                      <wps:cNvSpPr/>
                      <wps:spPr>
                        <a:xfrm>
                          <a:off x="0" y="0"/>
                          <a:ext cx="1112520" cy="328295"/>
                        </a:xfrm>
                        <a:prstGeom prst="wedgeRectCallout">
                          <a:avLst>
                            <a:gd name="adj1" fmla="val -40296"/>
                            <a:gd name="adj2" fmla="val 181333"/>
                          </a:avLst>
                        </a:prstGeom>
                        <a:solidFill>
                          <a:srgbClr val="FFFFFF"/>
                        </a:solidFill>
                        <a:ln>
                          <a:noFill/>
                        </a:ln>
                      </wps:spPr>
                      <wps:txbx>
                        <w:txbxContent>
                          <w:p>
                            <w:pPr>
                              <w:ind w:firstLine="0" w:firstLineChars="0"/>
                            </w:pPr>
                            <w:r>
                              <w:rPr>
                                <w:rFonts w:hint="eastAsia"/>
                              </w:rPr>
                              <w:t>500m范围线</w:t>
                            </w:r>
                          </w:p>
                        </w:txbxContent>
                      </wps:txbx>
                      <wps:bodyPr upright="1"/>
                    </wps:wsp>
                  </a:graphicData>
                </a:graphic>
              </wp:anchor>
            </w:drawing>
          </mc:Choice>
          <mc:Fallback>
            <w:pict>
              <v:shape id="_x0000_s1026" o:spid="_x0000_s1026" o:spt="61" type="#_x0000_t61" style="position:absolute;left:0pt;margin-left:588.15pt;margin-top:123.25pt;height:25.85pt;width:87.6pt;z-index:251662336;mso-width-relative:page;mso-height-relative:page;" fillcolor="#FFFFFF" filled="t" stroked="f" coordsize="21600,21600" o:gfxdata="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l4YbaAAAADQEAAA8AAAAAAAAAAQAgAAAAIgAAAGRycy9kb3ducmV2LnhtbFBLAQIUABQA&#10;AAAIAIdO4kCHUhrL7gEAAM8DAAAOAAAAAAAAAAEAIAAAACkBAABkcnMvZTJvRG9jLnhtbFBLBQYA&#10;AAAABgAGAFkBAACJBQAAAAA=&#10;" adj="2096,49968">
                <v:fill on="t" focussize="0,0"/>
                <v:stroke on="f"/>
                <v:imagedata o:title=""/>
                <o:lock v:ext="edit" aspectratio="f"/>
                <v:textbox>
                  <w:txbxContent>
                    <w:p>
                      <w:pPr>
                        <w:ind w:firstLine="0" w:firstLineChars="0"/>
                      </w:pPr>
                      <w:r>
                        <w:rPr>
                          <w:rFonts w:hint="eastAsia"/>
                        </w:rPr>
                        <w:t>500m范围线</w:t>
                      </w:r>
                    </w:p>
                  </w:txbxContent>
                </v:textbox>
              </v:shape>
            </w:pict>
          </mc:Fallback>
        </mc:AlternateContent>
      </w:r>
      <w:r>
        <w:rPr>
          <w:rFonts w:hint="default" w:ascii="Times New Roman" w:hAnsi="Times New Roman" w:cs="Times New Roman"/>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7657465</wp:posOffset>
                </wp:positionH>
                <wp:positionV relativeFrom="paragraph">
                  <wp:posOffset>6350</wp:posOffset>
                </wp:positionV>
                <wp:extent cx="887730" cy="812800"/>
                <wp:effectExtent l="4445" t="4445" r="22225" b="20955"/>
                <wp:wrapNone/>
                <wp:docPr id="4" name="文本框 4"/>
                <wp:cNvGraphicFramePr/>
                <a:graphic xmlns:a="http://schemas.openxmlformats.org/drawingml/2006/main">
                  <a:graphicData uri="http://schemas.microsoft.com/office/word/2010/wordprocessingShape">
                    <wps:wsp>
                      <wps:cNvSpPr txBox="1"/>
                      <wps:spPr>
                        <a:xfrm>
                          <a:off x="0" y="0"/>
                          <a:ext cx="1028700" cy="99060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pPr>
                              <w:ind w:firstLine="0" w:firstLineChars="0"/>
                            </w:pPr>
                            <w:r>
                              <w:drawing>
                                <wp:inline distT="0" distB="0" distL="114300" distR="114300">
                                  <wp:extent cx="806450" cy="737870"/>
                                  <wp:effectExtent l="0" t="0" r="1270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b="16222"/>
                                          <a:stretch>
                                            <a:fillRect/>
                                          </a:stretch>
                                        </pic:blipFill>
                                        <pic:spPr>
                                          <a:xfrm>
                                            <a:off x="0" y="0"/>
                                            <a:ext cx="806450" cy="737870"/>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602.95pt;margin-top:0.5pt;height:64pt;width:69.9pt;z-index:251660288;mso-width-relative:page;mso-height-relative:page;" fillcolor="#FFFFFF" filled="t" stroked="t" coordsize="21600,21600" o:gfxdata="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9SRo1gAAAAsBAAAPAAAAAAAAAAEAIAAA&#10;ACIAAABkcnMvZG93bnJldi54bWxQSwECFAAUAAAACACHTuJADcxhmw4CAABEBAAADgAAAAAAAAAB&#10;ACAAAAAlAQAAZHJzL2Uyb0RvYy54bWxQSwUGAAAAAAYABgBZAQAApQUAAAAA&#10;">
                <v:fill on="t" focussize="0,0"/>
                <v:stroke weight="0.5pt" color="#000000" joinstyle="miter"/>
                <v:imagedata o:title=""/>
                <o:lock v:ext="edit" aspectratio="f"/>
                <v:textbox>
                  <w:txbxContent>
                    <w:p>
                      <w:pPr>
                        <w:ind w:firstLine="0" w:firstLineChars="0"/>
                      </w:pPr>
                      <w:r>
                        <w:drawing>
                          <wp:inline distT="0" distB="0" distL="114300" distR="114300">
                            <wp:extent cx="806450" cy="737870"/>
                            <wp:effectExtent l="0" t="0" r="1270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b="16222"/>
                                    <a:stretch>
                                      <a:fillRect/>
                                    </a:stretch>
                                  </pic:blipFill>
                                  <pic:spPr>
                                    <a:xfrm>
                                      <a:off x="0" y="0"/>
                                      <a:ext cx="806450" cy="737870"/>
                                    </a:xfrm>
                                    <a:prstGeom prst="rect">
                                      <a:avLst/>
                                    </a:prstGeom>
                                    <a:noFill/>
                                    <a:ln>
                                      <a:noFill/>
                                    </a:ln>
                                  </pic:spPr>
                                </pic:pic>
                              </a:graphicData>
                            </a:graphic>
                          </wp:inline>
                        </w:drawing>
                      </w:r>
                    </w:p>
                  </w:txbxContent>
                </v:textbox>
              </v:shape>
            </w:pict>
          </mc:Fallback>
        </mc:AlternateContent>
      </w:r>
      <w:r>
        <w:rPr>
          <w:rFonts w:hint="default" w:ascii="Times New Roman" w:hAnsi="Times New Roman" w:cs="Times New Roman"/>
          <w:color w:val="auto"/>
          <w:highlight w:val="none"/>
        </w:rPr>
        <w:t>图1  项目周边敏感点情况</w:t>
      </w:r>
    </w:p>
    <w:p>
      <w:pPr>
        <w:spacing w:line="360" w:lineRule="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三、主要环境影响预测情况</w:t>
      </w:r>
    </w:p>
    <w:p>
      <w:pPr>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1、废气</w:t>
      </w:r>
    </w:p>
    <w:p>
      <w:pPr>
        <w:spacing w:line="360" w:lineRule="auto"/>
        <w:ind w:firstLine="480"/>
        <w:rPr>
          <w:rFonts w:hint="default" w:ascii="Times New Roman" w:hAnsi="Times New Roman" w:cs="Times New Roman"/>
          <w:color w:val="auto"/>
          <w:szCs w:val="21"/>
          <w:lang w:val="en-US" w:eastAsia="zh-CN"/>
        </w:rPr>
      </w:pPr>
      <w:r>
        <w:rPr>
          <w:rFonts w:hint="eastAsia" w:ascii="Times New Roman" w:hAnsi="Times New Roman" w:eastAsia="宋体" w:cs="宋体"/>
          <w:spacing w:val="0"/>
          <w:kern w:val="0"/>
          <w:sz w:val="21"/>
          <w:szCs w:val="21"/>
          <w:lang w:val="en-US" w:eastAsia="zh-CN" w:bidi="ar-SA"/>
        </w:rPr>
        <w:t>汽车尾气</w:t>
      </w:r>
      <w:r>
        <w:rPr>
          <w:rFonts w:hint="default" w:ascii="Times New Roman" w:hAnsi="Times New Roman" w:cs="Times New Roman"/>
          <w:color w:val="auto"/>
          <w:szCs w:val="21"/>
          <w:lang w:val="en-US" w:eastAsia="zh-CN"/>
        </w:rPr>
        <w:t>：</w:t>
      </w:r>
      <w:r>
        <w:rPr>
          <w:rFonts w:hint="eastAsia" w:ascii="Times New Roman" w:hAnsi="Times New Roman" w:eastAsia="宋体" w:cs="宋体"/>
          <w:kern w:val="0"/>
          <w:sz w:val="21"/>
          <w:szCs w:val="21"/>
          <w:lang w:val="en-US" w:eastAsia="zh-CN" w:bidi="ar-SA"/>
        </w:rPr>
        <w:t>地下车库排风通过设置机械排风系统，车库汽车尾气由排风系统引至地面排风口排出</w:t>
      </w:r>
      <w:r>
        <w:rPr>
          <w:rFonts w:hint="default" w:ascii="Times New Roman" w:hAnsi="Times New Roman" w:cs="Times New Roman"/>
          <w:color w:val="auto"/>
          <w:szCs w:val="21"/>
          <w:lang w:val="en-US" w:eastAsia="zh-CN"/>
        </w:rPr>
        <w:t>；</w:t>
      </w:r>
    </w:p>
    <w:p>
      <w:pPr>
        <w:spacing w:line="360" w:lineRule="auto"/>
        <w:ind w:firstLine="480"/>
        <w:rPr>
          <w:rFonts w:hint="eastAsia" w:ascii="Times New Roman" w:hAnsi="Times New Roman" w:eastAsia="宋体" w:cs="宋体"/>
          <w:sz w:val="21"/>
          <w:szCs w:val="21"/>
          <w:lang w:eastAsia="zh-CN"/>
        </w:rPr>
      </w:pPr>
      <w:r>
        <w:rPr>
          <w:rFonts w:hint="eastAsia" w:ascii="Times New Roman" w:hAnsi="Times New Roman" w:eastAsia="宋体" w:cs="宋体"/>
          <w:spacing w:val="0"/>
          <w:kern w:val="0"/>
          <w:sz w:val="21"/>
          <w:szCs w:val="21"/>
          <w:lang w:val="en-US" w:eastAsia="zh-CN" w:bidi="ar-SA"/>
        </w:rPr>
        <w:t>天然气燃烧废气</w:t>
      </w:r>
      <w:r>
        <w:rPr>
          <w:rFonts w:hint="default" w:ascii="Times New Roman" w:hAnsi="Times New Roman" w:cs="Times New Roman"/>
          <w:color w:val="auto"/>
          <w:szCs w:val="21"/>
          <w:lang w:val="en-US" w:eastAsia="zh-CN"/>
        </w:rPr>
        <w:t>：</w:t>
      </w:r>
      <w:r>
        <w:rPr>
          <w:rFonts w:hint="eastAsia" w:ascii="Times New Roman" w:hAnsi="Times New Roman" w:eastAsia="宋体" w:cs="宋体"/>
          <w:sz w:val="21"/>
          <w:szCs w:val="21"/>
        </w:rPr>
        <w:t>采用低氮燃烧技术，收集后的燃烧废气通过不低于40m排气筒排放</w:t>
      </w:r>
      <w:r>
        <w:rPr>
          <w:rFonts w:hint="eastAsia" w:ascii="Times New Roman" w:hAnsi="Times New Roman" w:eastAsia="宋体" w:cs="宋体"/>
          <w:sz w:val="21"/>
          <w:szCs w:val="21"/>
          <w:lang w:eastAsia="zh-CN"/>
        </w:rPr>
        <w:t>；</w:t>
      </w:r>
    </w:p>
    <w:p>
      <w:pPr>
        <w:spacing w:line="360" w:lineRule="auto"/>
        <w:ind w:firstLine="480"/>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eastAsia="zh-CN"/>
        </w:rPr>
        <w:t>污水处理站废气：污水处理设施为地埋式，各处理池实行加盖密封处理，仅盖板预留进、出气口，并通过风管对臭气进行负压收集，经等离子除臭设备+活性炭吸附装置处理后通过15m高排气筒排放；</w:t>
      </w:r>
    </w:p>
    <w:p>
      <w:pPr>
        <w:spacing w:line="360" w:lineRule="auto"/>
        <w:ind w:firstLine="480"/>
        <w:rPr>
          <w:rFonts w:hint="eastAsia" w:ascii="Times New Roman" w:hAnsi="Times New Roman" w:eastAsia="宋体" w:cs="Times New Roman"/>
          <w:color w:val="auto"/>
          <w:szCs w:val="21"/>
          <w:lang w:val="en-US" w:eastAsia="zh-CN"/>
        </w:rPr>
      </w:pPr>
      <w:r>
        <w:rPr>
          <w:rFonts w:hint="eastAsia" w:ascii="Times New Roman" w:hAnsi="Times New Roman" w:eastAsia="宋体" w:cs="宋体"/>
          <w:sz w:val="21"/>
          <w:szCs w:val="21"/>
          <w:lang w:eastAsia="zh-CN"/>
        </w:rPr>
        <w:t>食堂油烟：经油烟净化器处理后楼顶排放。</w:t>
      </w:r>
    </w:p>
    <w:p>
      <w:pPr>
        <w:spacing w:line="360" w:lineRule="auto"/>
        <w:ind w:firstLine="480"/>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本项目所在区域为环境空气质量达标区，因此本项目对大气环境的影</w:t>
      </w:r>
      <w:bookmarkStart w:id="0" w:name="_GoBack"/>
      <w:bookmarkEnd w:id="0"/>
      <w:r>
        <w:rPr>
          <w:rFonts w:hint="default" w:ascii="Times New Roman" w:hAnsi="Times New Roman" w:cs="Times New Roman" w:eastAsiaTheme="minorEastAsia"/>
          <w:color w:val="auto"/>
          <w:szCs w:val="21"/>
          <w:lang w:eastAsia="zh-CN"/>
        </w:rPr>
        <w:t>响是可以接受的。</w:t>
      </w:r>
    </w:p>
    <w:p>
      <w:pPr>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2、废水</w:t>
      </w:r>
    </w:p>
    <w:p>
      <w:pPr>
        <w:spacing w:line="360" w:lineRule="auto"/>
        <w:ind w:firstLine="480"/>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传染病（含门诊）医疗废水经预消毒处理后排入专用化粪池，食堂含油废水经隔油池预处理，后勤人员生活污水、非传染病医疗废水及其未预见废水经化粪池预处理，化验废水经中和池预处理后，与冷却塔废水、纯水机反冲洗废水、锅炉废水一同排入院区现有污水处理站处理达标后与纯水机浓水一同纳入市政污水管网。污水处理设施采取接触氧化+二沉池+接触消毒工艺处理，废水经处理达到《医疗机构水污染物排放标准》（GB18466-2005）预处理排放标准后排入市政污水管网，经台州市水处理发展有限公司处理后排放。</w:t>
      </w:r>
    </w:p>
    <w:p>
      <w:pPr>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3、噪声</w:t>
      </w:r>
    </w:p>
    <w:p>
      <w:pPr>
        <w:spacing w:line="360" w:lineRule="auto"/>
        <w:ind w:firstLine="48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为降低噪声对周围环境的影响，企业应采取如下措施：医院选用低噪声设备，从源头上控制噪声源强；水泵、风机等高噪声设备设置在单独隔间内；平时加强对各设备的保养、检修与润滑，保证设备良好运转，减轻运行噪声强度。为进一步减少高噪声设备在运行时产生的噪声对周围环境的影响，建议在设计、安装过程中，所有设备选用低噪声型，且对各设备机组下面采用减振机座，以减轻对环境的影响。</w:t>
      </w:r>
      <w:r>
        <w:rPr>
          <w:rFonts w:hint="eastAsia" w:ascii="Times New Roman" w:hAnsi="Times New Roman" w:cs="Times New Roman"/>
          <w:color w:val="auto"/>
          <w:szCs w:val="21"/>
          <w:lang w:eastAsia="zh-CN"/>
        </w:rPr>
        <w:t>经预测，项目运营后厂界及</w:t>
      </w:r>
      <w:r>
        <w:rPr>
          <w:rFonts w:hint="eastAsia" w:ascii="Times New Roman" w:hAnsi="Times New Roman" w:cs="Times New Roman"/>
          <w:color w:val="auto"/>
          <w:szCs w:val="21"/>
          <w:lang w:val="en-US" w:eastAsia="zh-CN"/>
        </w:rPr>
        <w:t>50m范围内敏感点均能达到相应排放标准，不会改变区域声环境功能。</w:t>
      </w:r>
    </w:p>
    <w:p>
      <w:pPr>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4、固废</w:t>
      </w:r>
    </w:p>
    <w:p>
      <w:pPr>
        <w:spacing w:line="360" w:lineRule="auto"/>
        <w:ind w:firstLine="480"/>
        <w:rPr>
          <w:rFonts w:hint="default" w:ascii="Times New Roman" w:hAnsi="Times New Roman" w:cs="Times New Roman"/>
          <w:color w:val="auto"/>
          <w:szCs w:val="21"/>
        </w:rPr>
      </w:pPr>
      <w:r>
        <w:rPr>
          <w:rFonts w:hint="default" w:ascii="Times New Roman" w:hAnsi="Times New Roman" w:cs="Times New Roman"/>
          <w:color w:val="auto"/>
          <w:szCs w:val="21"/>
        </w:rPr>
        <w:t>项目对固废分类采取措施后，固废处置不会对周围环境产生明显影响。</w:t>
      </w:r>
    </w:p>
    <w:p>
      <w:pPr>
        <w:numPr>
          <w:ilvl w:val="0"/>
          <w:numId w:val="1"/>
        </w:numPr>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拟采取的主要环境保护措施、环境风险防范措施以及预期效果</w:t>
      </w:r>
    </w:p>
    <w:tbl>
      <w:tblPr>
        <w:tblStyle w:val="13"/>
        <w:tblW w:w="8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567"/>
        <w:gridCol w:w="1492"/>
        <w:gridCol w:w="2574"/>
        <w:gridCol w:w="2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tcBorders>
              <w:tl2br w:val="single" w:color="auto" w:sz="4" w:space="0"/>
            </w:tcBorders>
            <w:noWrap w:val="0"/>
            <w:vAlign w:val="top"/>
          </w:tcPr>
          <w:p>
            <w:pPr>
              <w:adjustRightInd w:val="0"/>
              <w:snapToGrid w:val="0"/>
              <w:ind w:firstLine="210" w:firstLineChars="100"/>
              <w:rPr>
                <w:rFonts w:ascii="Times New Roman" w:hAnsi="Times New Roman"/>
                <w:color w:val="000000"/>
                <w:szCs w:val="21"/>
              </w:rPr>
            </w:pPr>
            <w:r>
              <w:rPr>
                <w:rFonts w:ascii="Times New Roman" w:hAnsi="Times New Roman"/>
                <w:color w:val="000000"/>
                <w:szCs w:val="21"/>
              </w:rPr>
              <w:t>内容</w:t>
            </w:r>
          </w:p>
          <w:p>
            <w:pPr>
              <w:adjustRightInd w:val="0"/>
              <w:snapToGrid w:val="0"/>
              <w:rPr>
                <w:rFonts w:ascii="Times New Roman" w:hAnsi="Times New Roman"/>
                <w:color w:val="000000"/>
                <w:szCs w:val="21"/>
              </w:rPr>
            </w:pPr>
            <w:r>
              <w:rPr>
                <w:rFonts w:ascii="Times New Roman" w:hAnsi="Times New Roman"/>
                <w:color w:val="000000"/>
                <w:szCs w:val="21"/>
              </w:rPr>
              <w:t>要素</w:t>
            </w:r>
          </w:p>
        </w:tc>
        <w:tc>
          <w:tcPr>
            <w:tcW w:w="1567"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排放口(编号、名称)/污染源</w:t>
            </w:r>
          </w:p>
        </w:tc>
        <w:tc>
          <w:tcPr>
            <w:tcW w:w="1492"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污染物项目</w:t>
            </w:r>
          </w:p>
        </w:tc>
        <w:tc>
          <w:tcPr>
            <w:tcW w:w="2574"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环境保护措施</w:t>
            </w:r>
          </w:p>
        </w:tc>
        <w:tc>
          <w:tcPr>
            <w:tcW w:w="2162"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Merge w:val="restart"/>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大气</w:t>
            </w:r>
          </w:p>
          <w:p>
            <w:pPr>
              <w:adjustRightInd w:val="0"/>
              <w:snapToGrid w:val="0"/>
              <w:jc w:val="center"/>
              <w:rPr>
                <w:rFonts w:ascii="Times New Roman" w:hAnsi="Times New Roman"/>
                <w:color w:val="000000"/>
                <w:szCs w:val="21"/>
              </w:rPr>
            </w:pPr>
            <w:r>
              <w:rPr>
                <w:rFonts w:ascii="Times New Roman" w:hAnsi="Times New Roman"/>
                <w:color w:val="000000"/>
                <w:szCs w:val="21"/>
              </w:rPr>
              <w:t>环境</w:t>
            </w:r>
          </w:p>
        </w:tc>
        <w:tc>
          <w:tcPr>
            <w:tcW w:w="1567" w:type="dxa"/>
            <w:noWrap w:val="0"/>
            <w:vAlign w:val="center"/>
          </w:tcPr>
          <w:p>
            <w:pPr>
              <w:adjustRightInd w:val="0"/>
              <w:snapToGrid w:val="0"/>
              <w:jc w:val="center"/>
              <w:rPr>
                <w:rFonts w:ascii="Times New Roman" w:hAnsi="Times New Roman"/>
                <w:color w:val="000000"/>
                <w:szCs w:val="21"/>
              </w:rPr>
            </w:pPr>
            <w:r>
              <w:rPr>
                <w:color w:val="000000"/>
                <w:szCs w:val="21"/>
              </w:rPr>
              <w:t>DA00</w:t>
            </w:r>
            <w:r>
              <w:rPr>
                <w:rFonts w:hint="eastAsia"/>
                <w:color w:val="000000"/>
                <w:szCs w:val="21"/>
              </w:rPr>
              <w:t>2</w:t>
            </w:r>
            <w:r>
              <w:rPr>
                <w:rFonts w:hint="eastAsia" w:hAnsi="宋体"/>
                <w:color w:val="000000"/>
                <w:szCs w:val="21"/>
              </w:rPr>
              <w:t>污水处理站废气</w:t>
            </w:r>
          </w:p>
        </w:tc>
        <w:tc>
          <w:tcPr>
            <w:tcW w:w="1492" w:type="dxa"/>
            <w:noWrap w:val="0"/>
            <w:vAlign w:val="center"/>
          </w:tcPr>
          <w:p>
            <w:pPr>
              <w:adjustRightInd w:val="0"/>
              <w:snapToGrid w:val="0"/>
              <w:jc w:val="center"/>
              <w:rPr>
                <w:rFonts w:ascii="Times New Roman" w:hAnsi="Times New Roman"/>
                <w:color w:val="000000"/>
                <w:szCs w:val="21"/>
              </w:rPr>
            </w:pPr>
            <w:r>
              <w:rPr>
                <w:rFonts w:hint="eastAsia" w:hAnsi="宋体"/>
                <w:bCs/>
                <w:color w:val="000000"/>
                <w:szCs w:val="21"/>
              </w:rPr>
              <w:t>氨、硫化氢、臭气浓度</w:t>
            </w:r>
          </w:p>
        </w:tc>
        <w:tc>
          <w:tcPr>
            <w:tcW w:w="2574" w:type="dxa"/>
            <w:noWrap w:val="0"/>
            <w:vAlign w:val="center"/>
          </w:tcPr>
          <w:p>
            <w:pPr>
              <w:jc w:val="center"/>
              <w:rPr>
                <w:rFonts w:ascii="Times New Roman" w:hAnsi="Times New Roman"/>
                <w:color w:val="000000"/>
                <w:szCs w:val="21"/>
              </w:rPr>
            </w:pPr>
            <w:r>
              <w:rPr>
                <w:rFonts w:hint="eastAsia"/>
                <w:color w:val="000000"/>
              </w:rPr>
              <w:t>污水处理站废气经收集后通过等离子除臭+活性炭吸附装置处理后引至15m排气筒高空排放</w:t>
            </w:r>
          </w:p>
        </w:tc>
        <w:tc>
          <w:tcPr>
            <w:tcW w:w="2162" w:type="dxa"/>
            <w:noWrap w:val="0"/>
            <w:vAlign w:val="center"/>
          </w:tcPr>
          <w:p>
            <w:pPr>
              <w:spacing w:line="240" w:lineRule="exact"/>
              <w:jc w:val="center"/>
              <w:textAlignment w:val="baseline"/>
              <w:rPr>
                <w:rFonts w:ascii="Times New Roman" w:hAnsi="Times New Roman"/>
                <w:color w:val="000000"/>
                <w:szCs w:val="21"/>
              </w:rPr>
            </w:pPr>
            <w:r>
              <w:rPr>
                <w:rFonts w:hint="eastAsia"/>
                <w:color w:val="000000"/>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Merge w:val="continue"/>
            <w:noWrap w:val="0"/>
            <w:vAlign w:val="center"/>
          </w:tcPr>
          <w:p>
            <w:pPr>
              <w:adjustRightInd w:val="0"/>
              <w:snapToGrid w:val="0"/>
              <w:jc w:val="center"/>
              <w:rPr>
                <w:rFonts w:ascii="Times New Roman" w:hAnsi="Times New Roman"/>
                <w:color w:val="000000"/>
                <w:szCs w:val="21"/>
              </w:rPr>
            </w:pPr>
          </w:p>
        </w:tc>
        <w:tc>
          <w:tcPr>
            <w:tcW w:w="1567" w:type="dxa"/>
            <w:vMerge w:val="restart"/>
            <w:noWrap w:val="0"/>
            <w:vAlign w:val="center"/>
          </w:tcPr>
          <w:p>
            <w:pPr>
              <w:adjustRightInd w:val="0"/>
              <w:snapToGrid w:val="0"/>
              <w:jc w:val="center"/>
              <w:rPr>
                <w:color w:val="000000"/>
                <w:szCs w:val="21"/>
              </w:rPr>
            </w:pPr>
            <w:r>
              <w:rPr>
                <w:color w:val="000000"/>
                <w:szCs w:val="21"/>
              </w:rPr>
              <w:t>DA00</w:t>
            </w:r>
            <w:r>
              <w:rPr>
                <w:rFonts w:hint="eastAsia"/>
                <w:color w:val="000000"/>
                <w:szCs w:val="21"/>
              </w:rPr>
              <w:t>3天然气燃烧废气</w:t>
            </w:r>
          </w:p>
        </w:tc>
        <w:tc>
          <w:tcPr>
            <w:tcW w:w="1492" w:type="dxa"/>
            <w:noWrap w:val="0"/>
            <w:vAlign w:val="center"/>
          </w:tcPr>
          <w:p>
            <w:pPr>
              <w:adjustRightInd w:val="0"/>
              <w:snapToGrid w:val="0"/>
              <w:jc w:val="center"/>
              <w:rPr>
                <w:rFonts w:hint="eastAsia" w:hAnsi="宋体"/>
                <w:bCs/>
                <w:color w:val="000000"/>
                <w:szCs w:val="21"/>
              </w:rPr>
            </w:pPr>
            <w:r>
              <w:rPr>
                <w:rFonts w:hint="eastAsia"/>
                <w:bCs/>
                <w:color w:val="000000"/>
                <w:kern w:val="0"/>
                <w:szCs w:val="21"/>
                <w:lang w:eastAsia="zh-CN"/>
              </w:rPr>
              <w:t>烟气黑度、</w:t>
            </w:r>
            <w:r>
              <w:rPr>
                <w:rFonts w:hint="eastAsia"/>
                <w:bCs/>
                <w:color w:val="000000"/>
                <w:kern w:val="0"/>
                <w:szCs w:val="21"/>
              </w:rPr>
              <w:t>烟尘、</w:t>
            </w:r>
            <w:r>
              <w:rPr>
                <w:rFonts w:ascii="Times New Roman" w:hAnsi="Times New Roman"/>
                <w:color w:val="000000"/>
                <w:szCs w:val="21"/>
              </w:rPr>
              <w:t>SO</w:t>
            </w:r>
            <w:r>
              <w:rPr>
                <w:rFonts w:ascii="Times New Roman" w:hAnsi="Times New Roman"/>
                <w:color w:val="000000"/>
                <w:szCs w:val="21"/>
                <w:vertAlign w:val="subscript"/>
              </w:rPr>
              <w:t>2</w:t>
            </w:r>
          </w:p>
        </w:tc>
        <w:tc>
          <w:tcPr>
            <w:tcW w:w="2574" w:type="dxa"/>
            <w:vMerge w:val="restart"/>
            <w:noWrap w:val="0"/>
            <w:vAlign w:val="center"/>
          </w:tcPr>
          <w:p>
            <w:pPr>
              <w:jc w:val="center"/>
              <w:rPr>
                <w:rFonts w:hint="eastAsia"/>
                <w:color w:val="000000"/>
              </w:rPr>
            </w:pPr>
            <w:r>
              <w:rPr>
                <w:rFonts w:hint="eastAsia" w:ascii="Times New Roman" w:hAnsi="Times New Roman"/>
                <w:color w:val="000000"/>
                <w:szCs w:val="21"/>
              </w:rPr>
              <w:t>采用低氮燃烧技术，收集的废气通过不低于40m排气筒排放</w:t>
            </w:r>
          </w:p>
        </w:tc>
        <w:tc>
          <w:tcPr>
            <w:tcW w:w="2162" w:type="dxa"/>
            <w:noWrap w:val="0"/>
            <w:vAlign w:val="center"/>
          </w:tcPr>
          <w:p>
            <w:pPr>
              <w:spacing w:line="240" w:lineRule="exact"/>
              <w:jc w:val="center"/>
              <w:textAlignment w:val="baseline"/>
              <w:rPr>
                <w:rFonts w:hint="eastAsia"/>
                <w:color w:val="000000"/>
              </w:rPr>
            </w:pPr>
            <w:r>
              <w:rPr>
                <w:rFonts w:hint="eastAsia" w:ascii="Times New Roman" w:hAnsi="Times New Roman"/>
                <w:color w:val="000000"/>
                <w:szCs w:val="21"/>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Merge w:val="continue"/>
            <w:noWrap w:val="0"/>
            <w:vAlign w:val="center"/>
          </w:tcPr>
          <w:p>
            <w:pPr>
              <w:adjustRightInd w:val="0"/>
              <w:snapToGrid w:val="0"/>
              <w:jc w:val="center"/>
              <w:rPr>
                <w:rFonts w:ascii="Times New Roman" w:hAnsi="Times New Roman"/>
                <w:color w:val="000000"/>
                <w:szCs w:val="21"/>
              </w:rPr>
            </w:pPr>
          </w:p>
        </w:tc>
        <w:tc>
          <w:tcPr>
            <w:tcW w:w="1567" w:type="dxa"/>
            <w:vMerge w:val="continue"/>
            <w:noWrap w:val="0"/>
            <w:vAlign w:val="center"/>
          </w:tcPr>
          <w:p>
            <w:pPr>
              <w:adjustRightInd w:val="0"/>
              <w:snapToGrid w:val="0"/>
              <w:jc w:val="center"/>
              <w:rPr>
                <w:color w:val="000000"/>
                <w:szCs w:val="21"/>
              </w:rPr>
            </w:pPr>
          </w:p>
        </w:tc>
        <w:tc>
          <w:tcPr>
            <w:tcW w:w="1492" w:type="dxa"/>
            <w:noWrap w:val="0"/>
            <w:vAlign w:val="center"/>
          </w:tcPr>
          <w:p>
            <w:pPr>
              <w:adjustRightInd w:val="0"/>
              <w:snapToGrid w:val="0"/>
              <w:jc w:val="center"/>
              <w:rPr>
                <w:rFonts w:hint="eastAsia" w:hAnsi="宋体"/>
                <w:bCs/>
                <w:color w:val="000000"/>
                <w:szCs w:val="21"/>
              </w:rPr>
            </w:pPr>
            <w:r>
              <w:rPr>
                <w:rFonts w:ascii="Times New Roman" w:hAnsi="Times New Roman"/>
                <w:color w:val="000000"/>
                <w:szCs w:val="21"/>
              </w:rPr>
              <w:t>NO</w:t>
            </w:r>
            <w:r>
              <w:rPr>
                <w:rFonts w:ascii="Times New Roman" w:hAnsi="Times New Roman"/>
                <w:color w:val="000000"/>
                <w:szCs w:val="21"/>
                <w:vertAlign w:val="subscript"/>
              </w:rPr>
              <w:t>x</w:t>
            </w:r>
          </w:p>
        </w:tc>
        <w:tc>
          <w:tcPr>
            <w:tcW w:w="2574" w:type="dxa"/>
            <w:vMerge w:val="continue"/>
            <w:noWrap w:val="0"/>
            <w:vAlign w:val="center"/>
          </w:tcPr>
          <w:p>
            <w:pPr>
              <w:jc w:val="center"/>
              <w:rPr>
                <w:rFonts w:hint="eastAsia"/>
                <w:color w:val="000000"/>
              </w:rPr>
            </w:pPr>
          </w:p>
        </w:tc>
        <w:tc>
          <w:tcPr>
            <w:tcW w:w="2162" w:type="dxa"/>
            <w:noWrap w:val="0"/>
            <w:vAlign w:val="center"/>
          </w:tcPr>
          <w:p>
            <w:pPr>
              <w:spacing w:line="240" w:lineRule="exact"/>
              <w:jc w:val="center"/>
              <w:textAlignment w:val="baseline"/>
              <w:rPr>
                <w:rFonts w:hint="eastAsia"/>
                <w:color w:val="000000"/>
              </w:rPr>
            </w:pPr>
            <w:r>
              <w:rPr>
                <w:rFonts w:hint="eastAsia" w:ascii="Times New Roman" w:hAnsi="Times New Roman"/>
                <w:color w:val="000000"/>
                <w:szCs w:val="21"/>
              </w:rPr>
              <w:t>《关于开展台州市燃气锅炉低氮改造工作的通知》（台环发[2019]37号）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Merge w:val="continue"/>
            <w:noWrap w:val="0"/>
            <w:vAlign w:val="center"/>
          </w:tcPr>
          <w:p>
            <w:pPr>
              <w:adjustRightInd w:val="0"/>
              <w:snapToGrid w:val="0"/>
              <w:jc w:val="center"/>
              <w:rPr>
                <w:rFonts w:ascii="Times New Roman" w:hAnsi="Times New Roman"/>
                <w:color w:val="000000"/>
                <w:szCs w:val="21"/>
              </w:rPr>
            </w:pPr>
          </w:p>
        </w:tc>
        <w:tc>
          <w:tcPr>
            <w:tcW w:w="1567" w:type="dxa"/>
            <w:noWrap w:val="0"/>
            <w:vAlign w:val="center"/>
          </w:tcPr>
          <w:p>
            <w:pPr>
              <w:adjustRightInd w:val="0"/>
              <w:snapToGrid w:val="0"/>
              <w:jc w:val="center"/>
              <w:rPr>
                <w:rFonts w:ascii="Times New Roman" w:hAnsi="Times New Roman"/>
                <w:color w:val="000000"/>
                <w:szCs w:val="21"/>
              </w:rPr>
            </w:pPr>
            <w:r>
              <w:rPr>
                <w:rFonts w:hint="eastAsia" w:hAnsi="宋体"/>
                <w:color w:val="000000"/>
                <w:szCs w:val="21"/>
              </w:rPr>
              <w:t>食堂油烟</w:t>
            </w:r>
          </w:p>
        </w:tc>
        <w:tc>
          <w:tcPr>
            <w:tcW w:w="1492" w:type="dxa"/>
            <w:noWrap w:val="0"/>
            <w:vAlign w:val="center"/>
          </w:tcPr>
          <w:p>
            <w:pPr>
              <w:adjustRightInd w:val="0"/>
              <w:snapToGrid w:val="0"/>
              <w:jc w:val="center"/>
              <w:rPr>
                <w:rFonts w:ascii="Times New Roman" w:hAnsi="Times New Roman"/>
                <w:color w:val="000000"/>
                <w:szCs w:val="21"/>
              </w:rPr>
            </w:pPr>
            <w:r>
              <w:rPr>
                <w:rFonts w:hint="eastAsia"/>
                <w:color w:val="000000"/>
                <w:szCs w:val="21"/>
              </w:rPr>
              <w:t>油烟</w:t>
            </w:r>
          </w:p>
        </w:tc>
        <w:tc>
          <w:tcPr>
            <w:tcW w:w="2574" w:type="dxa"/>
            <w:noWrap w:val="0"/>
            <w:vAlign w:val="center"/>
          </w:tcPr>
          <w:p>
            <w:pPr>
              <w:jc w:val="center"/>
              <w:rPr>
                <w:rFonts w:ascii="Times New Roman" w:hAnsi="Times New Roman"/>
                <w:color w:val="000000"/>
                <w:szCs w:val="21"/>
              </w:rPr>
            </w:pPr>
            <w:r>
              <w:rPr>
                <w:rFonts w:hint="eastAsia"/>
                <w:color w:val="000000"/>
              </w:rPr>
              <w:t>食堂油烟经油烟净化器收集处理后由专用烟道屋顶排放</w:t>
            </w:r>
          </w:p>
        </w:tc>
        <w:tc>
          <w:tcPr>
            <w:tcW w:w="2162" w:type="dxa"/>
            <w:noWrap w:val="0"/>
            <w:vAlign w:val="center"/>
          </w:tcPr>
          <w:p>
            <w:pPr>
              <w:spacing w:line="240" w:lineRule="exact"/>
              <w:jc w:val="center"/>
              <w:textAlignment w:val="baseline"/>
              <w:rPr>
                <w:rFonts w:ascii="Times New Roman" w:hAnsi="Times New Roman"/>
                <w:color w:val="000000"/>
                <w:szCs w:val="21"/>
              </w:rPr>
            </w:pPr>
            <w:r>
              <w:rPr>
                <w:rFonts w:hint="eastAsia"/>
                <w:color w:val="000000"/>
                <w:szCs w:val="21"/>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地表水</w:t>
            </w:r>
          </w:p>
          <w:p>
            <w:pPr>
              <w:adjustRightInd w:val="0"/>
              <w:snapToGrid w:val="0"/>
              <w:jc w:val="center"/>
              <w:rPr>
                <w:rFonts w:ascii="Times New Roman" w:hAnsi="Times New Roman"/>
                <w:color w:val="000000"/>
                <w:szCs w:val="21"/>
              </w:rPr>
            </w:pPr>
            <w:r>
              <w:rPr>
                <w:rFonts w:ascii="Times New Roman" w:hAnsi="Times New Roman"/>
                <w:color w:val="000000"/>
                <w:szCs w:val="21"/>
              </w:rPr>
              <w:t>环境</w:t>
            </w:r>
          </w:p>
        </w:tc>
        <w:tc>
          <w:tcPr>
            <w:tcW w:w="1567" w:type="dxa"/>
            <w:noWrap w:val="0"/>
            <w:vAlign w:val="center"/>
          </w:tcPr>
          <w:p>
            <w:pPr>
              <w:adjustRightInd w:val="0"/>
              <w:snapToGrid w:val="0"/>
              <w:jc w:val="center"/>
              <w:rPr>
                <w:rFonts w:ascii="Times New Roman" w:hAnsi="Times New Roman"/>
                <w:color w:val="000000"/>
                <w:szCs w:val="21"/>
              </w:rPr>
            </w:pPr>
            <w:r>
              <w:rPr>
                <w:rFonts w:hint="eastAsia" w:ascii="Times New Roman" w:hAnsi="Times New Roman"/>
                <w:color w:val="000000"/>
                <w:szCs w:val="21"/>
              </w:rPr>
              <w:t>总排口</w:t>
            </w:r>
            <w:r>
              <w:rPr>
                <w:rFonts w:ascii="Times New Roman" w:hAnsi="Times New Roman"/>
                <w:color w:val="000000"/>
                <w:szCs w:val="21"/>
              </w:rPr>
              <w:t>DW001</w:t>
            </w:r>
          </w:p>
        </w:tc>
        <w:tc>
          <w:tcPr>
            <w:tcW w:w="1492" w:type="dxa"/>
            <w:noWrap w:val="0"/>
            <w:vAlign w:val="center"/>
          </w:tcPr>
          <w:p>
            <w:pPr>
              <w:adjustRightInd w:val="0"/>
              <w:snapToGrid w:val="0"/>
              <w:jc w:val="center"/>
              <w:rPr>
                <w:rFonts w:hint="eastAsia" w:ascii="Times New Roman" w:hAnsi="Times New Roman"/>
                <w:color w:val="000000"/>
                <w:szCs w:val="21"/>
              </w:rPr>
            </w:pPr>
            <w:r>
              <w:rPr>
                <w:color w:val="000000"/>
                <w:szCs w:val="21"/>
              </w:rPr>
              <w:t>pH、COD、NH</w:t>
            </w:r>
            <w:r>
              <w:rPr>
                <w:color w:val="000000"/>
                <w:szCs w:val="21"/>
                <w:vertAlign w:val="subscript"/>
              </w:rPr>
              <w:t>3</w:t>
            </w:r>
            <w:r>
              <w:rPr>
                <w:color w:val="000000"/>
                <w:szCs w:val="21"/>
              </w:rPr>
              <w:t>-N</w:t>
            </w:r>
            <w:r>
              <w:rPr>
                <w:rFonts w:hint="eastAsia"/>
                <w:color w:val="000000"/>
                <w:szCs w:val="21"/>
              </w:rPr>
              <w:t>、BOD</w:t>
            </w:r>
            <w:r>
              <w:rPr>
                <w:color w:val="000000"/>
                <w:szCs w:val="21"/>
                <w:vertAlign w:val="subscript"/>
              </w:rPr>
              <w:t>5</w:t>
            </w:r>
            <w:r>
              <w:rPr>
                <w:rFonts w:hint="eastAsia"/>
                <w:color w:val="000000"/>
                <w:szCs w:val="21"/>
              </w:rPr>
              <w:t>、SS、粪大肠杆菌、动植物油</w:t>
            </w:r>
          </w:p>
        </w:tc>
        <w:tc>
          <w:tcPr>
            <w:tcW w:w="2574" w:type="dxa"/>
            <w:noWrap w:val="0"/>
            <w:vAlign w:val="center"/>
          </w:tcPr>
          <w:p>
            <w:pPr>
              <w:jc w:val="center"/>
              <w:rPr>
                <w:rFonts w:hint="eastAsia" w:ascii="Times New Roman" w:hAnsi="Times New Roman"/>
                <w:color w:val="000000"/>
                <w:szCs w:val="21"/>
              </w:rPr>
            </w:pPr>
            <w:r>
              <w:rPr>
                <w:color w:val="000000"/>
                <w:szCs w:val="21"/>
              </w:rPr>
              <w:t>本项目</w:t>
            </w:r>
            <w:r>
              <w:rPr>
                <w:rFonts w:hint="eastAsia"/>
                <w:color w:val="000000"/>
                <w:szCs w:val="21"/>
              </w:rPr>
              <w:t>传染病（含门诊）医疗废水经预消毒处理后排入专用化粪池，食堂含油废水经隔油池预处理，后勤人员生活污水、非传染病医疗废水及其未预见废水经化粪池预处理，化验废水经中和池预处理后，与冷却塔废水、纯水机反冲洗废水一同排入院区现有污水处理站处理达标后纳管，最终由台州市水处理发展有限公司统一处理达标后排放</w:t>
            </w:r>
          </w:p>
        </w:tc>
        <w:tc>
          <w:tcPr>
            <w:tcW w:w="2162" w:type="dxa"/>
            <w:noWrap w:val="0"/>
            <w:vAlign w:val="center"/>
          </w:tcPr>
          <w:p>
            <w:pPr>
              <w:contextualSpacing/>
              <w:rPr>
                <w:color w:val="000000"/>
              </w:rPr>
            </w:pPr>
            <w:r>
              <w:rPr>
                <w:rFonts w:hint="eastAsia"/>
                <w:color w:val="000000"/>
              </w:rPr>
              <w:t>纳管标准：《医疗机构水污染物</w:t>
            </w:r>
          </w:p>
          <w:p>
            <w:pPr>
              <w:contextualSpacing/>
              <w:rPr>
                <w:rFonts w:ascii="Times New Roman" w:hAnsi="Times New Roman"/>
                <w:color w:val="000000"/>
                <w:szCs w:val="21"/>
              </w:rPr>
            </w:pPr>
            <w:r>
              <w:rPr>
                <w:rFonts w:hint="eastAsia"/>
                <w:color w:val="000000"/>
              </w:rPr>
              <w:t>排放标准》（GB18466-2005）中预处理标准；</w:t>
            </w:r>
            <w:r>
              <w:rPr>
                <w:rFonts w:hint="eastAsia"/>
                <w:color w:val="000000"/>
                <w:szCs w:val="21"/>
              </w:rPr>
              <w:t>污水处理厂</w:t>
            </w:r>
            <w:r>
              <w:rPr>
                <w:rFonts w:hint="eastAsia"/>
                <w:color w:val="000000"/>
              </w:rPr>
              <w:t>：《城镇污水处理厂污染物排放标准》（GB18918-2002）中一级A标准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声环境</w:t>
            </w:r>
          </w:p>
        </w:tc>
        <w:tc>
          <w:tcPr>
            <w:tcW w:w="1567" w:type="dxa"/>
            <w:noWrap w:val="0"/>
            <w:vAlign w:val="center"/>
          </w:tcPr>
          <w:p>
            <w:pPr>
              <w:adjustRightInd w:val="0"/>
              <w:snapToGrid w:val="0"/>
              <w:jc w:val="center"/>
              <w:rPr>
                <w:rFonts w:ascii="Times New Roman" w:hAnsi="Times New Roman"/>
                <w:color w:val="000000"/>
                <w:szCs w:val="21"/>
              </w:rPr>
            </w:pPr>
            <w:r>
              <w:rPr>
                <w:rFonts w:hint="eastAsia"/>
                <w:bCs/>
                <w:color w:val="000000"/>
                <w:szCs w:val="21"/>
              </w:rPr>
              <w:t>场界</w:t>
            </w:r>
          </w:p>
        </w:tc>
        <w:tc>
          <w:tcPr>
            <w:tcW w:w="1492" w:type="dxa"/>
            <w:noWrap w:val="0"/>
            <w:vAlign w:val="center"/>
          </w:tcPr>
          <w:p>
            <w:pPr>
              <w:adjustRightInd w:val="0"/>
              <w:snapToGrid w:val="0"/>
              <w:jc w:val="center"/>
              <w:rPr>
                <w:rFonts w:ascii="Times New Roman" w:hAnsi="Times New Roman"/>
                <w:color w:val="000000"/>
                <w:szCs w:val="21"/>
              </w:rPr>
            </w:pPr>
            <w:r>
              <w:rPr>
                <w:bCs/>
                <w:color w:val="000000"/>
                <w:szCs w:val="21"/>
              </w:rPr>
              <w:t>设备噪声</w:t>
            </w:r>
          </w:p>
        </w:tc>
        <w:tc>
          <w:tcPr>
            <w:tcW w:w="2574" w:type="dxa"/>
            <w:noWrap w:val="0"/>
            <w:vAlign w:val="center"/>
          </w:tcPr>
          <w:p>
            <w:pPr>
              <w:adjustRightInd w:val="0"/>
              <w:snapToGrid w:val="0"/>
              <w:jc w:val="center"/>
              <w:rPr>
                <w:rFonts w:ascii="Times New Roman" w:hAnsi="Times New Roman"/>
                <w:color w:val="000000"/>
                <w:szCs w:val="21"/>
              </w:rPr>
            </w:pPr>
            <w:r>
              <w:rPr>
                <w:rFonts w:hint="eastAsia" w:ascii="Arial" w:hAnsi="Arial" w:cs="Arial"/>
                <w:color w:val="000000"/>
                <w:kern w:val="0"/>
                <w:szCs w:val="21"/>
              </w:rPr>
              <w:t>采用低噪声设备、隔声、减振、消声等</w:t>
            </w:r>
          </w:p>
        </w:tc>
        <w:tc>
          <w:tcPr>
            <w:tcW w:w="2162" w:type="dxa"/>
            <w:noWrap w:val="0"/>
            <w:vAlign w:val="center"/>
          </w:tcPr>
          <w:p>
            <w:pPr>
              <w:tabs>
                <w:tab w:val="left" w:pos="410"/>
              </w:tabs>
              <w:adjustRightInd w:val="0"/>
              <w:snapToGrid w:val="0"/>
              <w:jc w:val="center"/>
              <w:rPr>
                <w:rFonts w:ascii="Times New Roman" w:hAnsi="Times New Roman"/>
                <w:color w:val="000000"/>
                <w:szCs w:val="21"/>
              </w:rPr>
            </w:pPr>
            <w:r>
              <w:rPr>
                <w:rFonts w:hint="eastAsia"/>
                <w:color w:val="000000"/>
                <w:szCs w:val="21"/>
              </w:rPr>
              <w:t>北侧执行《工业企业厂界环境噪声排放标准》（GB12348-2008）1类，南侧、东侧、西侧执行《工业企业厂界环境噪声排放标准》（GB12348-2008）中4类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电磁</w:t>
            </w:r>
          </w:p>
          <w:p>
            <w:pPr>
              <w:adjustRightInd w:val="0"/>
              <w:snapToGrid w:val="0"/>
              <w:jc w:val="center"/>
              <w:rPr>
                <w:rFonts w:ascii="Times New Roman" w:hAnsi="Times New Roman"/>
                <w:color w:val="000000"/>
                <w:szCs w:val="21"/>
              </w:rPr>
            </w:pPr>
            <w:r>
              <w:rPr>
                <w:rFonts w:ascii="Times New Roman" w:hAnsi="Times New Roman"/>
                <w:color w:val="000000"/>
                <w:szCs w:val="21"/>
              </w:rPr>
              <w:t>辐射</w:t>
            </w:r>
          </w:p>
        </w:tc>
        <w:tc>
          <w:tcPr>
            <w:tcW w:w="1567"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1492"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2574"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w:t>
            </w:r>
          </w:p>
        </w:tc>
        <w:tc>
          <w:tcPr>
            <w:tcW w:w="2162"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固体</w:t>
            </w:r>
          </w:p>
          <w:p>
            <w:pPr>
              <w:adjustRightInd w:val="0"/>
              <w:snapToGrid w:val="0"/>
              <w:jc w:val="center"/>
              <w:rPr>
                <w:rFonts w:ascii="Times New Roman" w:hAnsi="Times New Roman"/>
                <w:color w:val="000000"/>
                <w:szCs w:val="21"/>
              </w:rPr>
            </w:pPr>
            <w:r>
              <w:rPr>
                <w:rFonts w:ascii="Times New Roman" w:hAnsi="Times New Roman"/>
                <w:color w:val="000000"/>
                <w:szCs w:val="21"/>
              </w:rPr>
              <w:t>废物</w:t>
            </w:r>
          </w:p>
        </w:tc>
        <w:tc>
          <w:tcPr>
            <w:tcW w:w="7795" w:type="dxa"/>
            <w:gridSpan w:val="4"/>
            <w:noWrap w:val="0"/>
            <w:vAlign w:val="center"/>
          </w:tcPr>
          <w:p>
            <w:pPr>
              <w:widowControl/>
              <w:jc w:val="left"/>
              <w:rPr>
                <w:rFonts w:ascii="Times New Roman" w:hAnsi="Times New Roman"/>
                <w:color w:val="000000"/>
              </w:rPr>
            </w:pPr>
            <w:r>
              <w:rPr>
                <w:rFonts w:hint="eastAsia" w:ascii="Times New Roman" w:hAnsi="Times New Roman"/>
                <w:color w:val="000000"/>
                <w:kern w:val="0"/>
                <w:szCs w:val="21"/>
                <w:lang w:bidi="ar"/>
              </w:rPr>
              <w:t>一般</w:t>
            </w:r>
            <w:r>
              <w:rPr>
                <w:rFonts w:ascii="Times New Roman" w:hAnsi="Times New Roman"/>
                <w:color w:val="000000"/>
                <w:kern w:val="0"/>
                <w:szCs w:val="21"/>
                <w:lang w:bidi="ar"/>
              </w:rPr>
              <w:t>废包装</w:t>
            </w:r>
            <w:r>
              <w:rPr>
                <w:rFonts w:hint="eastAsia" w:ascii="Times New Roman" w:hAnsi="Times New Roman"/>
                <w:color w:val="000000"/>
                <w:kern w:val="0"/>
                <w:szCs w:val="21"/>
                <w:lang w:bidi="ar"/>
              </w:rPr>
              <w:t>材料、未被污染的输液袋（瓶）</w:t>
            </w:r>
            <w:r>
              <w:rPr>
                <w:rFonts w:ascii="Times New Roman" w:hAnsi="Times New Roman"/>
                <w:color w:val="000000"/>
                <w:kern w:val="0"/>
                <w:szCs w:val="21"/>
                <w:lang w:bidi="ar"/>
              </w:rPr>
              <w:t>收集后出售给物资回收单位综合利用；</w:t>
            </w:r>
            <w:r>
              <w:rPr>
                <w:rFonts w:hint="eastAsia" w:ascii="Times New Roman" w:hAnsi="Times New Roman"/>
                <w:color w:val="000000"/>
                <w:kern w:val="0"/>
                <w:szCs w:val="21"/>
                <w:lang w:bidi="ar"/>
              </w:rPr>
              <w:t>废滤芯由原厂家回收利用；医疗废物、感染病门诊及住院医疗废物及生活垃圾、污泥、废活性炭、废过滤材料</w:t>
            </w:r>
            <w:r>
              <w:rPr>
                <w:rFonts w:ascii="Times New Roman" w:hAnsi="Times New Roman"/>
                <w:color w:val="000000"/>
                <w:kern w:val="0"/>
                <w:szCs w:val="21"/>
                <w:lang w:bidi="ar"/>
              </w:rPr>
              <w:t>等危险废物收集后定期委托有资质单位进行安全处置；生活垃圾由环卫部门清运并统一集中处理。</w:t>
            </w:r>
          </w:p>
          <w:p>
            <w:pPr>
              <w:widowControl/>
              <w:jc w:val="left"/>
              <w:rPr>
                <w:rFonts w:ascii="Times New Roman" w:hAnsi="Times New Roman"/>
                <w:color w:val="000000"/>
                <w:szCs w:val="21"/>
              </w:rPr>
            </w:pPr>
            <w:r>
              <w:rPr>
                <w:rFonts w:ascii="Times New Roman" w:hAnsi="Times New Roman"/>
                <w:color w:val="000000"/>
                <w:kern w:val="0"/>
                <w:szCs w:val="21"/>
                <w:lang w:bidi="ar"/>
              </w:rPr>
              <w:t>一般固废收集后分类贮存并建立一般工业固体废物种类、产生量、流向、贮存、处置等资料档案；危险废物按照</w:t>
            </w:r>
            <w:r>
              <w:rPr>
                <w:rFonts w:hint="eastAsia" w:ascii="Times New Roman" w:hAnsi="Times New Roman"/>
                <w:color w:val="000000"/>
                <w:kern w:val="0"/>
                <w:szCs w:val="21"/>
                <w:lang w:bidi="ar"/>
              </w:rPr>
              <w:t>《危险废物贮存污染控制标准》（GB18597-2023）</w:t>
            </w:r>
            <w:r>
              <w:rPr>
                <w:rFonts w:ascii="Times New Roman" w:hAnsi="Times New Roman"/>
                <w:color w:val="000000"/>
                <w:kern w:val="0"/>
                <w:szCs w:val="21"/>
                <w:lang w:bidi="ar"/>
              </w:rPr>
              <w:t>、《危险废物收集 贮存 运输技术规范》（HJ 2025-2012）进行控制，日常管理中要履行申报的登记制度、建立台帐制度</w:t>
            </w:r>
            <w:r>
              <w:rPr>
                <w:rFonts w:hint="eastAsia" w:ascii="Times New Roman" w:hAnsi="Times New Roman"/>
                <w:color w:val="000000"/>
                <w:kern w:val="0"/>
                <w:szCs w:val="21"/>
                <w:lang w:bidi="ar"/>
              </w:rPr>
              <w:t>；医疗废物的堆放应符合《医疗废物集中处置技术规范(试行)》的有关规定</w:t>
            </w:r>
            <w:r>
              <w:rPr>
                <w:rFonts w:ascii="Times New Roman" w:hAnsi="Times New Roman"/>
                <w:color w:val="000000"/>
                <w:kern w:val="0"/>
                <w:szCs w:val="21"/>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土壤及地下水污染防治措施</w:t>
            </w:r>
          </w:p>
        </w:tc>
        <w:tc>
          <w:tcPr>
            <w:tcW w:w="7795" w:type="dxa"/>
            <w:gridSpan w:val="4"/>
            <w:noWrap w:val="0"/>
            <w:vAlign w:val="center"/>
          </w:tcPr>
          <w:p>
            <w:pPr>
              <w:widowControl/>
              <w:adjustRightInd w:val="0"/>
              <w:snapToGrid w:val="0"/>
              <w:jc w:val="left"/>
              <w:rPr>
                <w:rFonts w:ascii="Times New Roman" w:hAnsi="Times New Roman"/>
                <w:color w:val="000000"/>
                <w:szCs w:val="21"/>
              </w:rPr>
            </w:pPr>
            <w:r>
              <w:rPr>
                <w:rFonts w:hint="eastAsia"/>
                <w:color w:val="000000"/>
                <w:szCs w:val="21"/>
              </w:rPr>
              <w:t>切实做好雨污分流、清污分流，并对废水处理设施、危废暂存间等关键场所做好防渗、防漏和防腐蚀措施；本项目各功能区均采取“源头控制”、“分区防控”的防渗措施，可以有效保证污染物不会进入地下水、土壤环境，防止污染地下水、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生态保护措施</w:t>
            </w:r>
          </w:p>
        </w:tc>
        <w:tc>
          <w:tcPr>
            <w:tcW w:w="7795" w:type="dxa"/>
            <w:gridSpan w:val="4"/>
            <w:noWrap w:val="0"/>
            <w:vAlign w:val="center"/>
          </w:tcPr>
          <w:p>
            <w:pPr>
              <w:adjustRightInd w:val="0"/>
              <w:snapToGrid w:val="0"/>
              <w:jc w:val="center"/>
              <w:rPr>
                <w:rFonts w:ascii="Times New Roman" w:hAnsi="Times New Roman"/>
                <w:color w:val="000000"/>
                <w:szCs w:val="21"/>
              </w:rPr>
            </w:pPr>
            <w:r>
              <w:rPr>
                <w:rFonts w:hint="eastAsia" w:ascii="Times New Roman" w:hAnsi="Times New Roman"/>
                <w:color w:val="000000"/>
                <w:szCs w:val="21"/>
              </w:rPr>
              <w:t>运营期产生的污染物较少，且经治理后能达标排放，基本不会对生态现状造成影响。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noWrap w:val="0"/>
            <w:vAlign w:val="center"/>
          </w:tcPr>
          <w:p>
            <w:pPr>
              <w:adjustRightInd w:val="0"/>
              <w:snapToGrid w:val="0"/>
              <w:jc w:val="center"/>
              <w:rPr>
                <w:rFonts w:ascii="Times New Roman" w:hAnsi="Times New Roman"/>
                <w:color w:val="000000"/>
                <w:spacing w:val="-8"/>
                <w:szCs w:val="21"/>
              </w:rPr>
            </w:pPr>
            <w:r>
              <w:rPr>
                <w:rFonts w:ascii="Times New Roman" w:hAnsi="Times New Roman"/>
                <w:color w:val="000000"/>
                <w:spacing w:val="-8"/>
                <w:szCs w:val="21"/>
              </w:rPr>
              <w:t>环境风险</w:t>
            </w:r>
          </w:p>
          <w:p>
            <w:pPr>
              <w:adjustRightInd w:val="0"/>
              <w:snapToGrid w:val="0"/>
              <w:jc w:val="center"/>
              <w:rPr>
                <w:rFonts w:ascii="Times New Roman" w:hAnsi="Times New Roman"/>
                <w:color w:val="000000"/>
                <w:spacing w:val="-8"/>
                <w:szCs w:val="21"/>
              </w:rPr>
            </w:pPr>
            <w:r>
              <w:rPr>
                <w:rFonts w:ascii="Times New Roman" w:hAnsi="Times New Roman"/>
                <w:color w:val="000000"/>
                <w:spacing w:val="-8"/>
                <w:szCs w:val="21"/>
              </w:rPr>
              <w:t>防范措施</w:t>
            </w:r>
          </w:p>
        </w:tc>
        <w:tc>
          <w:tcPr>
            <w:tcW w:w="7795" w:type="dxa"/>
            <w:gridSpan w:val="4"/>
            <w:noWrap w:val="0"/>
            <w:vAlign w:val="center"/>
          </w:tcPr>
          <w:p>
            <w:pPr>
              <w:pStyle w:val="5"/>
              <w:adjustRightInd w:val="0"/>
              <w:snapToGrid w:val="0"/>
              <w:ind w:firstLine="0"/>
              <w:rPr>
                <w:color w:val="000000"/>
                <w:szCs w:val="21"/>
                <w:lang w:val="en-US" w:eastAsia="zh-CN"/>
              </w:rPr>
            </w:pPr>
            <w:r>
              <w:rPr>
                <w:rFonts w:hint="eastAsia"/>
                <w:color w:val="000000"/>
                <w:szCs w:val="21"/>
                <w:lang w:val="en-US" w:eastAsia="zh-CN"/>
              </w:rPr>
              <w:t>①增强风险意识，加强安全管理。医院要对医疗废物实行专人管理，分类收集，要与一般的生活垃圾严格分开，按照类别分置于防渗漏、防锐器穿透的专用包装物或者密闭的容器内，医疗废物专用包装物和容器，应当有明显的警示标识和警示说明。</w:t>
            </w:r>
          </w:p>
          <w:p>
            <w:pPr>
              <w:pStyle w:val="5"/>
              <w:adjustRightInd w:val="0"/>
              <w:snapToGrid w:val="0"/>
              <w:ind w:firstLine="0"/>
              <w:rPr>
                <w:color w:val="000000"/>
                <w:szCs w:val="21"/>
                <w:lang w:val="en-US" w:eastAsia="zh-CN"/>
              </w:rPr>
            </w:pPr>
            <w:r>
              <w:rPr>
                <w:rFonts w:hint="eastAsia"/>
                <w:color w:val="000000"/>
                <w:szCs w:val="21"/>
                <w:lang w:val="en-US" w:eastAsia="zh-CN"/>
              </w:rPr>
              <w:t>②加强运输过程的管理。医疗废物的暂时贮存设施、设备应当定期消毒和清洁。</w:t>
            </w:r>
          </w:p>
          <w:p>
            <w:pPr>
              <w:pStyle w:val="5"/>
              <w:adjustRightInd w:val="0"/>
              <w:snapToGrid w:val="0"/>
              <w:ind w:firstLine="0"/>
              <w:rPr>
                <w:color w:val="000000"/>
                <w:szCs w:val="21"/>
                <w:lang w:val="en-US" w:eastAsia="zh-CN"/>
              </w:rPr>
            </w:pPr>
            <w:r>
              <w:rPr>
                <w:rFonts w:hint="eastAsia"/>
                <w:color w:val="000000"/>
                <w:szCs w:val="21"/>
                <w:lang w:val="en-US" w:eastAsia="zh-CN"/>
              </w:rPr>
              <w:t>③加强储存过程的管理，在储存过程中应严格遵守各物料储存注意事项。</w:t>
            </w:r>
          </w:p>
          <w:p>
            <w:pPr>
              <w:pStyle w:val="5"/>
              <w:adjustRightInd w:val="0"/>
              <w:snapToGrid w:val="0"/>
              <w:ind w:firstLine="0"/>
              <w:rPr>
                <w:color w:val="000000"/>
                <w:szCs w:val="21"/>
                <w:lang w:val="en-US" w:eastAsia="zh-CN"/>
              </w:rPr>
            </w:pPr>
            <w:r>
              <w:rPr>
                <w:rFonts w:hint="eastAsia"/>
                <w:color w:val="000000"/>
                <w:szCs w:val="21"/>
                <w:lang w:val="en-US" w:eastAsia="zh-CN"/>
              </w:rPr>
              <w:t>④对废气、废水处理设施的日常运行维护，定期检查废气、废水处理设施的运行情况。</w:t>
            </w:r>
          </w:p>
          <w:p>
            <w:pPr>
              <w:pStyle w:val="5"/>
              <w:adjustRightInd w:val="0"/>
              <w:snapToGrid w:val="0"/>
              <w:ind w:firstLine="0"/>
              <w:rPr>
                <w:color w:val="000000"/>
                <w:szCs w:val="21"/>
                <w:lang w:val="en-US" w:eastAsia="zh-CN"/>
              </w:rPr>
            </w:pPr>
            <w:r>
              <w:rPr>
                <w:rFonts w:hint="eastAsia"/>
                <w:color w:val="000000"/>
                <w:szCs w:val="21"/>
                <w:lang w:val="en-US" w:eastAsia="zh-CN"/>
              </w:rPr>
              <w:t>⑤院区已建设396.63m</w:t>
            </w:r>
            <w:r>
              <w:rPr>
                <w:rFonts w:hint="eastAsia"/>
                <w:color w:val="000000"/>
                <w:szCs w:val="21"/>
                <w:vertAlign w:val="superscript"/>
                <w:lang w:val="en-US" w:eastAsia="zh-CN"/>
              </w:rPr>
              <w:t>3</w:t>
            </w:r>
            <w:r>
              <w:rPr>
                <w:rFonts w:hint="eastAsia"/>
                <w:color w:val="000000"/>
                <w:szCs w:val="21"/>
                <w:lang w:val="en-US" w:eastAsia="zh-CN"/>
              </w:rPr>
              <w:t>的事故应急池。废水处理系统发生故障时，废水接入事故应急池暂存，故障修复后纳入污水站处理，处理达标后纳管排放。</w:t>
            </w:r>
          </w:p>
          <w:p>
            <w:pPr>
              <w:adjustRightInd w:val="0"/>
              <w:snapToGrid w:val="0"/>
              <w:jc w:val="left"/>
              <w:rPr>
                <w:rFonts w:ascii="Times New Roman" w:hAnsi="Times New Roman"/>
                <w:color w:val="000000"/>
                <w:szCs w:val="21"/>
              </w:rPr>
            </w:pPr>
            <w:r>
              <w:rPr>
                <w:rFonts w:hint="eastAsia" w:ascii="宋体" w:hAnsi="宋体"/>
                <w:color w:val="000000"/>
                <w:szCs w:val="21"/>
              </w:rPr>
              <w:t>⑥</w:t>
            </w:r>
            <w:r>
              <w:rPr>
                <w:rFonts w:hint="eastAsia"/>
                <w:color w:val="000000"/>
                <w:szCs w:val="21"/>
              </w:rPr>
              <w:t>企业应根据相关文件要求编制环境事件应急预案，配备相应的应急物资、设施设备等，开展环境应急预案的培训、宣传和必要的应急演练，发生或者可能发生突发环境事件时及时启动环境事件应急预案。</w:t>
            </w:r>
          </w:p>
        </w:tc>
      </w:tr>
    </w:tbl>
    <w:p>
      <w:pPr>
        <w:spacing w:line="360" w:lineRule="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五、环境影响评价初步结论</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州市立医院迁建工程二期位于浙江省台州市椒江区海门街道赞扬村疏港大道以西、市府大道以北地块，所在区域属于台州市椒江区中心城区城镇生活重点管控单元（ZH33100220005），符合《台州市“三线一单”生态环境分区管控方案》（台环发〔2020〕57号）的相关要求。在正常生产并认真组织落实本环评提出的各项污染防治措施的基础上，确保各处理设施正常运行，能使各污染物排放全面稳定达到国家与地方环保相关标准规定要求，不会对周围环境产生明显不利影响，符合污染物达标排放要求，符合国家、省规定的主要污染物排放总量控制要求。根据院方提供的土地证，本项目用地为医卫慈善用地，符合土地利用总体规划和城乡发展总体规划要求。根据《产业结构调整指导目录（2019年本）》（2021年修改）</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本项目属于其中的鼓励类项目的医疗卫生服务设施建设。本项目也不属于《&lt;长江经济带发展负面清单指南（试行）&gt;浙江省实施细则》中的禁止类项目，因此，项目建设符合国家、浙江省的产业政策。</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因此，从环境保护角度看，本项目的建设是可行的。</w:t>
      </w:r>
    </w:p>
    <w:p>
      <w:pPr>
        <w:spacing w:line="360" w:lineRule="auto"/>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六、联系方式</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1、建设单位情况</w:t>
      </w:r>
    </w:p>
    <w:p>
      <w:pPr>
        <w:spacing w:line="360" w:lineRule="auto"/>
        <w:ind w:firstLine="480"/>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单位名称：</w:t>
      </w:r>
      <w:r>
        <w:rPr>
          <w:rFonts w:hint="default" w:ascii="Times New Roman" w:hAnsi="Times New Roman" w:cs="Times New Roman"/>
          <w:color w:val="auto"/>
          <w:highlight w:val="none"/>
          <w:lang w:eastAsia="zh-CN"/>
        </w:rPr>
        <w:t>台州市立医院</w:t>
      </w:r>
    </w:p>
    <w:p>
      <w:pPr>
        <w:spacing w:line="360" w:lineRule="auto"/>
        <w:ind w:firstLine="480"/>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单位地址：</w:t>
      </w:r>
      <w:r>
        <w:rPr>
          <w:rFonts w:hint="default" w:ascii="Times New Roman" w:hAnsi="Times New Roman" w:cs="Times New Roman"/>
          <w:color w:val="auto"/>
          <w:highlight w:val="none"/>
        </w:rPr>
        <w:t>浙江省台州市椒江区中山东路381-1号</w:t>
      </w:r>
    </w:p>
    <w:p>
      <w:pPr>
        <w:spacing w:line="360" w:lineRule="auto"/>
        <w:ind w:firstLine="480"/>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联系电话：</w:t>
      </w:r>
      <w:r>
        <w:rPr>
          <w:rFonts w:hint="default" w:ascii="Times New Roman" w:hAnsi="Times New Roman" w:cs="Times New Roman"/>
          <w:color w:val="auto"/>
          <w:highlight w:val="none"/>
        </w:rPr>
        <w:t>13291677979</w:t>
      </w:r>
    </w:p>
    <w:p>
      <w:pPr>
        <w:spacing w:line="360" w:lineRule="auto"/>
        <w:rPr>
          <w:rFonts w:hint="default" w:ascii="Times New Roman" w:hAnsi="Times New Roman" w:cs="Times New Roman"/>
          <w:color w:val="auto"/>
          <w:szCs w:val="21"/>
          <w:highlight w:val="none"/>
        </w:rPr>
      </w:pP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2、环评单位情况</w:t>
      </w:r>
    </w:p>
    <w:p>
      <w:pPr>
        <w:spacing w:line="360" w:lineRule="auto"/>
        <w:ind w:firstLine="480"/>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单位名称：</w:t>
      </w:r>
      <w:r>
        <w:rPr>
          <w:rFonts w:hint="default" w:ascii="Times New Roman" w:hAnsi="Times New Roman" w:cs="Times New Roman"/>
          <w:color w:val="auto"/>
          <w:szCs w:val="21"/>
          <w:highlight w:val="none"/>
          <w:lang w:eastAsia="zh-CN"/>
        </w:rPr>
        <w:t>浙江</w:t>
      </w:r>
      <w:r>
        <w:rPr>
          <w:rFonts w:hint="eastAsia" w:ascii="Times New Roman" w:hAnsi="Times New Roman" w:cs="Times New Roman"/>
          <w:color w:val="auto"/>
          <w:szCs w:val="21"/>
          <w:highlight w:val="none"/>
          <w:lang w:val="en-US" w:eastAsia="zh-CN"/>
        </w:rPr>
        <w:t>东天虹环保工程</w:t>
      </w:r>
      <w:r>
        <w:rPr>
          <w:rFonts w:hint="default" w:ascii="Times New Roman" w:hAnsi="Times New Roman" w:cs="Times New Roman"/>
          <w:color w:val="auto"/>
          <w:szCs w:val="21"/>
          <w:highlight w:val="none"/>
          <w:lang w:eastAsia="zh-CN"/>
        </w:rPr>
        <w:t>有限公司</w:t>
      </w:r>
    </w:p>
    <w:p>
      <w:pPr>
        <w:spacing w:line="360" w:lineRule="auto"/>
        <w:ind w:firstLine="480"/>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单位地址：</w:t>
      </w:r>
      <w:r>
        <w:rPr>
          <w:rFonts w:hint="eastAsia" w:ascii="Times New Roman" w:hAnsi="Times New Roman" w:cs="Times New Roman"/>
          <w:color w:val="auto"/>
          <w:szCs w:val="21"/>
          <w:highlight w:val="none"/>
          <w:lang w:eastAsia="zh-CN"/>
        </w:rPr>
        <w:t>浙江省杭州市临平区塘栖镇康信路</w:t>
      </w:r>
      <w:r>
        <w:rPr>
          <w:rFonts w:hint="eastAsia" w:ascii="Times New Roman" w:hAnsi="Times New Roman" w:cs="Times New Roman"/>
          <w:color w:val="auto"/>
          <w:szCs w:val="21"/>
          <w:highlight w:val="none"/>
          <w:lang w:val="en-US" w:eastAsia="zh-CN"/>
        </w:rPr>
        <w:t>603-3号</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3600527246</w:t>
      </w:r>
      <w:r>
        <w:rPr>
          <w:rFonts w:hint="default" w:ascii="Times New Roman" w:hAnsi="Times New Roman" w:cs="Times New Roman"/>
          <w:color w:val="auto"/>
          <w:szCs w:val="21"/>
          <w:highlight w:val="none"/>
        </w:rPr>
        <w:t xml:space="preserve">           </w:t>
      </w:r>
    </w:p>
    <w:p>
      <w:pPr>
        <w:pStyle w:val="19"/>
        <w:rPr>
          <w:rFonts w:hint="default" w:ascii="Times New Roman" w:hAnsi="Times New Roman" w:cs="Times New Roman"/>
          <w:color w:val="auto"/>
          <w:highlight w:val="none"/>
        </w:rPr>
      </w:pP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3、当地</w:t>
      </w:r>
      <w:r>
        <w:rPr>
          <w:rFonts w:hint="default" w:ascii="Times New Roman" w:hAnsi="Times New Roman" w:cs="Times New Roman"/>
          <w:color w:val="auto"/>
          <w:szCs w:val="21"/>
          <w:highlight w:val="none"/>
          <w:lang w:val="en-US" w:eastAsia="zh-CN"/>
        </w:rPr>
        <w:t>生态环境</w:t>
      </w:r>
      <w:r>
        <w:rPr>
          <w:rFonts w:hint="default" w:ascii="Times New Roman" w:hAnsi="Times New Roman" w:cs="Times New Roman"/>
          <w:color w:val="auto"/>
          <w:szCs w:val="21"/>
          <w:highlight w:val="none"/>
        </w:rPr>
        <w:t>局和审批部门联系电话</w:t>
      </w:r>
    </w:p>
    <w:p>
      <w:pPr>
        <w:spacing w:line="360" w:lineRule="auto"/>
        <w:ind w:firstLine="480"/>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t>审批单位名称：台州市生态环境局椒江分局</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单位地址：</w:t>
      </w:r>
      <w:r>
        <w:rPr>
          <w:rFonts w:hint="default" w:ascii="Times New Roman" w:hAnsi="Times New Roman" w:eastAsia="宋体" w:cs="Times New Roman"/>
          <w:color w:val="auto"/>
          <w:sz w:val="21"/>
          <w:szCs w:val="21"/>
          <w:highlight w:val="none"/>
        </w:rPr>
        <w:t>浙江省台州市椒江区建设路7号</w:t>
      </w:r>
    </w:p>
    <w:p>
      <w:pPr>
        <w:spacing w:line="360" w:lineRule="auto"/>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联系电话：0576-88836730</w:t>
      </w:r>
    </w:p>
    <w:p>
      <w:pPr>
        <w:pStyle w:val="5"/>
        <w:rPr>
          <w:rFonts w:hint="default" w:ascii="Times New Roman" w:hAnsi="Times New Roman" w:cs="Times New Roman"/>
          <w:color w:val="auto"/>
          <w:szCs w:val="21"/>
          <w:highlight w:val="none"/>
        </w:rPr>
      </w:pPr>
    </w:p>
    <w:p>
      <w:pPr>
        <w:rPr>
          <w:rFonts w:hint="default" w:ascii="Times New Roman" w:hAnsi="Times New Roman" w:cs="Times New Roman"/>
          <w:lang w:val="en-US" w:eastAsia="zh-CN"/>
        </w:rPr>
      </w:pPr>
    </w:p>
    <w:p>
      <w:pPr>
        <w:spacing w:line="360" w:lineRule="auto"/>
        <w:rPr>
          <w:rFonts w:hint="default"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 xml:space="preserve">                                                 </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highlight w:val="none"/>
          <w:lang w:eastAsia="zh-CN"/>
        </w:rPr>
        <w:t>台州市立医院</w:t>
      </w:r>
    </w:p>
    <w:p>
      <w:pPr>
        <w:spacing w:line="360" w:lineRule="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 xml:space="preserve">                                                         20</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年</w:t>
      </w:r>
      <w:r>
        <w:rPr>
          <w:rFonts w:hint="eastAsia"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月</w:t>
      </w:r>
      <w:r>
        <w:rPr>
          <w:rFonts w:hint="eastAsia"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rPr>
        <w:t>日</w:t>
      </w:r>
    </w:p>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C5146"/>
    <w:multiLevelType w:val="singleLevel"/>
    <w:tmpl w:val="2A6C5146"/>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Y3YzVmYTMxYzhmYjI3MzRmN2ZmYzBjMWY3ODAifQ=="/>
  </w:docVars>
  <w:rsids>
    <w:rsidRoot w:val="00172A27"/>
    <w:rsid w:val="00E975F6"/>
    <w:rsid w:val="017167C1"/>
    <w:rsid w:val="04227512"/>
    <w:rsid w:val="05476E2D"/>
    <w:rsid w:val="05DD1833"/>
    <w:rsid w:val="06856580"/>
    <w:rsid w:val="06DB474D"/>
    <w:rsid w:val="08557F52"/>
    <w:rsid w:val="0863344F"/>
    <w:rsid w:val="08BF3293"/>
    <w:rsid w:val="09B61229"/>
    <w:rsid w:val="0DD16A99"/>
    <w:rsid w:val="0DD87E32"/>
    <w:rsid w:val="0E281E8E"/>
    <w:rsid w:val="0EB1403F"/>
    <w:rsid w:val="0EEF5182"/>
    <w:rsid w:val="0F0F22BF"/>
    <w:rsid w:val="0F722A40"/>
    <w:rsid w:val="0FEA0DBD"/>
    <w:rsid w:val="0FF60359"/>
    <w:rsid w:val="104776FE"/>
    <w:rsid w:val="118F76CD"/>
    <w:rsid w:val="1303452B"/>
    <w:rsid w:val="136F66CF"/>
    <w:rsid w:val="14057711"/>
    <w:rsid w:val="14D70EA4"/>
    <w:rsid w:val="156777F8"/>
    <w:rsid w:val="159E7FA1"/>
    <w:rsid w:val="17BF093A"/>
    <w:rsid w:val="18DA707A"/>
    <w:rsid w:val="19866D8F"/>
    <w:rsid w:val="1ADB66EE"/>
    <w:rsid w:val="1BF003FC"/>
    <w:rsid w:val="1C8B59DD"/>
    <w:rsid w:val="1D643654"/>
    <w:rsid w:val="203420B1"/>
    <w:rsid w:val="219F607F"/>
    <w:rsid w:val="23AC1CC2"/>
    <w:rsid w:val="23AE39CA"/>
    <w:rsid w:val="24767BF7"/>
    <w:rsid w:val="25F206CB"/>
    <w:rsid w:val="26E03F45"/>
    <w:rsid w:val="26FD1892"/>
    <w:rsid w:val="27E4724E"/>
    <w:rsid w:val="280401ED"/>
    <w:rsid w:val="28081A3F"/>
    <w:rsid w:val="2860483C"/>
    <w:rsid w:val="28C03B2C"/>
    <w:rsid w:val="290F56F4"/>
    <w:rsid w:val="2A990A39"/>
    <w:rsid w:val="2DC12047"/>
    <w:rsid w:val="2EC923A0"/>
    <w:rsid w:val="30FE5808"/>
    <w:rsid w:val="31D163B8"/>
    <w:rsid w:val="31F2612C"/>
    <w:rsid w:val="321E5759"/>
    <w:rsid w:val="32F67648"/>
    <w:rsid w:val="332155D7"/>
    <w:rsid w:val="337706DB"/>
    <w:rsid w:val="338419AE"/>
    <w:rsid w:val="34CE30E7"/>
    <w:rsid w:val="34E2453C"/>
    <w:rsid w:val="350A5E94"/>
    <w:rsid w:val="3516760E"/>
    <w:rsid w:val="35236F9D"/>
    <w:rsid w:val="3555265A"/>
    <w:rsid w:val="35A2646E"/>
    <w:rsid w:val="35F7408D"/>
    <w:rsid w:val="379A4957"/>
    <w:rsid w:val="384B2C71"/>
    <w:rsid w:val="38703722"/>
    <w:rsid w:val="38777F59"/>
    <w:rsid w:val="38962C8B"/>
    <w:rsid w:val="38A102CA"/>
    <w:rsid w:val="39524319"/>
    <w:rsid w:val="395331E6"/>
    <w:rsid w:val="396B0518"/>
    <w:rsid w:val="3A0B7074"/>
    <w:rsid w:val="3A740AA7"/>
    <w:rsid w:val="3ADD36C4"/>
    <w:rsid w:val="3B33717B"/>
    <w:rsid w:val="3BAA208A"/>
    <w:rsid w:val="3BDA487F"/>
    <w:rsid w:val="3D457397"/>
    <w:rsid w:val="3F9048A3"/>
    <w:rsid w:val="3FA5608E"/>
    <w:rsid w:val="3FDB286D"/>
    <w:rsid w:val="3FEE333E"/>
    <w:rsid w:val="435E12D9"/>
    <w:rsid w:val="43CE26EB"/>
    <w:rsid w:val="43D1393A"/>
    <w:rsid w:val="45242B7F"/>
    <w:rsid w:val="45FD6D50"/>
    <w:rsid w:val="475B0EF6"/>
    <w:rsid w:val="47702B0E"/>
    <w:rsid w:val="47CA5AC2"/>
    <w:rsid w:val="485E2293"/>
    <w:rsid w:val="48ED38DE"/>
    <w:rsid w:val="4A361515"/>
    <w:rsid w:val="4A826E02"/>
    <w:rsid w:val="4C396F44"/>
    <w:rsid w:val="4F273BAD"/>
    <w:rsid w:val="505F4D80"/>
    <w:rsid w:val="50A32EDE"/>
    <w:rsid w:val="50CC3412"/>
    <w:rsid w:val="50D262A0"/>
    <w:rsid w:val="5119290A"/>
    <w:rsid w:val="511C48D4"/>
    <w:rsid w:val="51F033E6"/>
    <w:rsid w:val="52081DB7"/>
    <w:rsid w:val="528F2F76"/>
    <w:rsid w:val="52B4038E"/>
    <w:rsid w:val="52CF274C"/>
    <w:rsid w:val="55CB4C6B"/>
    <w:rsid w:val="56623DA7"/>
    <w:rsid w:val="56FD7BB8"/>
    <w:rsid w:val="56FE41A3"/>
    <w:rsid w:val="573D0E6E"/>
    <w:rsid w:val="57B76FB3"/>
    <w:rsid w:val="589A594C"/>
    <w:rsid w:val="597834A7"/>
    <w:rsid w:val="5A124E66"/>
    <w:rsid w:val="5A3A7C72"/>
    <w:rsid w:val="5C131786"/>
    <w:rsid w:val="5CA93368"/>
    <w:rsid w:val="5CDD72CC"/>
    <w:rsid w:val="5EE85CF2"/>
    <w:rsid w:val="61F12B8E"/>
    <w:rsid w:val="6373617B"/>
    <w:rsid w:val="63A83485"/>
    <w:rsid w:val="63FB2979"/>
    <w:rsid w:val="64ED609E"/>
    <w:rsid w:val="66881BF8"/>
    <w:rsid w:val="67020E30"/>
    <w:rsid w:val="675C5118"/>
    <w:rsid w:val="6874738F"/>
    <w:rsid w:val="698A1BB6"/>
    <w:rsid w:val="69EF3FDE"/>
    <w:rsid w:val="6A4E1348"/>
    <w:rsid w:val="6CD13931"/>
    <w:rsid w:val="6D6A2F03"/>
    <w:rsid w:val="6E527940"/>
    <w:rsid w:val="6E543FF2"/>
    <w:rsid w:val="6EB470E9"/>
    <w:rsid w:val="6F687106"/>
    <w:rsid w:val="718C53CF"/>
    <w:rsid w:val="72EF7BFE"/>
    <w:rsid w:val="72F6595E"/>
    <w:rsid w:val="74C74F31"/>
    <w:rsid w:val="7517040F"/>
    <w:rsid w:val="7537046C"/>
    <w:rsid w:val="75AC270C"/>
    <w:rsid w:val="75D24D10"/>
    <w:rsid w:val="75F126E8"/>
    <w:rsid w:val="760A11E0"/>
    <w:rsid w:val="763B020F"/>
    <w:rsid w:val="776B0FAD"/>
    <w:rsid w:val="7823247F"/>
    <w:rsid w:val="784C6173"/>
    <w:rsid w:val="78925ADC"/>
    <w:rsid w:val="795062BD"/>
    <w:rsid w:val="79D0035C"/>
    <w:rsid w:val="7A9119E2"/>
    <w:rsid w:val="7B123B5F"/>
    <w:rsid w:val="7B480E63"/>
    <w:rsid w:val="7BAA470C"/>
    <w:rsid w:val="7C596980"/>
    <w:rsid w:val="7D156B6B"/>
    <w:rsid w:val="7D6F0F3D"/>
    <w:rsid w:val="7E7B6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szCs w:val="20"/>
    </w:rPr>
  </w:style>
  <w:style w:type="paragraph" w:styleId="3">
    <w:name w:val="toc 1"/>
    <w:basedOn w:val="1"/>
    <w:next w:val="1"/>
    <w:unhideWhenUsed/>
    <w:qFormat/>
    <w:uiPriority w:val="39"/>
    <w:pPr>
      <w:tabs>
        <w:tab w:val="right" w:leader="dot" w:pos="8296"/>
      </w:tabs>
      <w:spacing w:line="360" w:lineRule="auto"/>
    </w:pPr>
    <w:rPr>
      <w:rFonts w:ascii="Times New Roman" w:hAnsi="Times New Roman" w:cs="Times New Roman"/>
      <w:b/>
    </w:rPr>
  </w:style>
  <w:style w:type="paragraph" w:styleId="4">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Indent"/>
    <w:basedOn w:val="1"/>
    <w:semiHidden/>
    <w:unhideWhenUsed/>
    <w:qFormat/>
    <w:uiPriority w:val="99"/>
    <w:pPr>
      <w:spacing w:after="120"/>
      <w:ind w:left="420" w:leftChars="200"/>
    </w:pPr>
  </w:style>
  <w:style w:type="paragraph" w:styleId="8">
    <w:name w:val="Date"/>
    <w:basedOn w:val="1"/>
    <w:next w:val="1"/>
    <w:qFormat/>
    <w:uiPriority w:val="0"/>
    <w:pPr>
      <w:widowControl w:val="0"/>
      <w:ind w:left="100" w:leftChars="2500"/>
      <w:jc w:val="both"/>
    </w:pPr>
    <w:rPr>
      <w:rFonts w:ascii="Times New Roman" w:hAnsi="Times New Roman" w:cs="Times New Roman"/>
      <w:kern w:val="2"/>
    </w:rPr>
  </w:style>
  <w:style w:type="paragraph" w:styleId="9">
    <w:name w:val="footer"/>
    <w:basedOn w:val="1"/>
    <w:unhideWhenUsed/>
    <w:qFormat/>
    <w:uiPriority w:val="99"/>
    <w:pPr>
      <w:widowControl w:val="0"/>
      <w:tabs>
        <w:tab w:val="center" w:pos="4153"/>
        <w:tab w:val="right" w:pos="8306"/>
      </w:tabs>
      <w:snapToGrid w:val="0"/>
    </w:pPr>
    <w:rPr>
      <w:rFonts w:ascii="Times New Roman" w:hAnsi="Times New Roman" w:cs="Times New Roman"/>
      <w:kern w:val="2"/>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Autospacing="1" w:afterAutospacing="1"/>
      <w:jc w:val="left"/>
    </w:pPr>
    <w:rPr>
      <w:rFonts w:hint="eastAsia" w:ascii="宋体" w:hAnsi="宋体" w:eastAsia="宋体" w:cs="Times New Roman"/>
      <w:kern w:val="0"/>
      <w:sz w:val="24"/>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800080"/>
      <w:u w:val="none"/>
    </w:rPr>
  </w:style>
  <w:style w:type="character" w:styleId="17">
    <w:name w:val="Hyperlink"/>
    <w:basedOn w:val="15"/>
    <w:unhideWhenUsed/>
    <w:qFormat/>
    <w:uiPriority w:val="99"/>
    <w:rPr>
      <w:color w:val="0000FF"/>
      <w:u w:val="single"/>
    </w:rPr>
  </w:style>
  <w:style w:type="character" w:styleId="18">
    <w:name w:val="annotation reference"/>
    <w:basedOn w:val="15"/>
    <w:semiHidden/>
    <w:qFormat/>
    <w:uiPriority w:val="0"/>
    <w:rPr>
      <w:sz w:val="21"/>
    </w:rPr>
  </w:style>
  <w:style w:type="paragraph" w:customStyle="1" w:styleId="19">
    <w:name w:val="Default"/>
    <w:basedOn w:val="20"/>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0">
    <w:name w:val="文本"/>
    <w:basedOn w:val="1"/>
    <w:next w:val="1"/>
    <w:qFormat/>
    <w:uiPriority w:val="0"/>
    <w:pPr>
      <w:autoSpaceDE w:val="0"/>
      <w:autoSpaceDN w:val="0"/>
      <w:ind w:firstLine="480"/>
    </w:pPr>
    <w:rPr>
      <w:szCs w:val="24"/>
      <w:lang w:val="zh-CN"/>
    </w:rPr>
  </w:style>
  <w:style w:type="paragraph" w:customStyle="1" w:styleId="21">
    <w:name w:val="表格内容"/>
    <w:basedOn w:val="22"/>
    <w:next w:val="1"/>
    <w:qFormat/>
    <w:uiPriority w:val="0"/>
    <w:pPr>
      <w:spacing w:line="360" w:lineRule="exact"/>
      <w:ind w:firstLine="0" w:firstLineChars="0"/>
      <w:jc w:val="center"/>
    </w:pPr>
    <w:rPr>
      <w:rFonts w:ascii="Times New Roman" w:hAnsi="Times New Roman"/>
      <w:sz w:val="21"/>
      <w:szCs w:val="21"/>
    </w:rPr>
  </w:style>
  <w:style w:type="paragraph" w:customStyle="1" w:styleId="22">
    <w:name w:val="正文样式"/>
    <w:basedOn w:val="1"/>
    <w:qFormat/>
    <w:uiPriority w:val="0"/>
    <w:pPr>
      <w:spacing w:line="360" w:lineRule="auto"/>
      <w:ind w:firstLine="640" w:firstLineChars="200"/>
    </w:pPr>
    <w:rPr>
      <w:rFonts w:ascii="Times New Roman" w:hAnsi="Times New Roman"/>
      <w:sz w:val="24"/>
    </w:rPr>
  </w:style>
  <w:style w:type="paragraph" w:customStyle="1" w:styleId="23">
    <w:name w:val="表格标题"/>
    <w:basedOn w:val="21"/>
    <w:next w:val="1"/>
    <w:qFormat/>
    <w:uiPriority w:val="0"/>
    <w:pPr>
      <w:spacing w:line="240" w:lineRule="auto"/>
      <w:ind w:firstLine="0" w:firstLineChars="0"/>
      <w:jc w:val="center"/>
      <w:outlineLvl w:val="9"/>
    </w:pPr>
    <w:rPr>
      <w:rFonts w:ascii="Times New Roman" w:hAnsi="Times New Roman" w:eastAsia="宋体" w:cs="Times New Roman"/>
      <w:sz w:val="24"/>
    </w:rPr>
  </w:style>
  <w:style w:type="paragraph" w:customStyle="1" w:styleId="24">
    <w:name w:val="二级标题"/>
    <w:basedOn w:val="1"/>
    <w:qFormat/>
    <w:uiPriority w:val="0"/>
    <w:pPr>
      <w:widowControl w:val="0"/>
      <w:spacing w:before="60" w:line="460" w:lineRule="exact"/>
      <w:jc w:val="both"/>
      <w:outlineLvl w:val="1"/>
    </w:pPr>
    <w:rPr>
      <w:rFonts w:ascii="Times New Roman" w:hAnsi="Times New Roman" w:cs="Times New Roman"/>
      <w:b/>
      <w:color w:val="000000"/>
      <w:sz w:val="28"/>
      <w:szCs w:val="18"/>
    </w:rPr>
  </w:style>
  <w:style w:type="paragraph" w:customStyle="1" w:styleId="25">
    <w:name w:val="表头"/>
    <w:basedOn w:val="5"/>
    <w:next w:val="1"/>
    <w:qFormat/>
    <w:uiPriority w:val="0"/>
    <w:pPr>
      <w:spacing w:line="240" w:lineRule="auto"/>
      <w:jc w:val="center"/>
    </w:pPr>
    <w:rPr>
      <w:b/>
    </w:rPr>
  </w:style>
  <w:style w:type="paragraph" w:customStyle="1" w:styleId="26">
    <w:name w:val="正文01"/>
    <w:basedOn w:val="7"/>
    <w:next w:val="1"/>
    <w:qFormat/>
    <w:uiPriority w:val="0"/>
    <w:pPr>
      <w:widowControl w:val="0"/>
      <w:spacing w:before="60" w:line="460" w:lineRule="exact"/>
      <w:ind w:firstLine="200" w:firstLineChars="200"/>
      <w:jc w:val="both"/>
    </w:pPr>
    <w:rPr>
      <w:rFonts w:ascii="Times New Roman" w:hAnsi="Times New Roman" w:cs="Times New Roman"/>
      <w:color w:val="000000"/>
      <w:szCs w:val="18"/>
    </w:rPr>
  </w:style>
  <w:style w:type="paragraph" w:customStyle="1" w:styleId="27">
    <w:name w:val="表格正文"/>
    <w:basedOn w:val="1"/>
    <w:qFormat/>
    <w:uiPriority w:val="0"/>
    <w:pPr>
      <w:spacing w:line="280" w:lineRule="exact"/>
      <w:jc w:val="center"/>
    </w:pPr>
    <w:rPr>
      <w:rFonts w:ascii="Times New Roman" w:hAnsi="Times New Roman" w:eastAsia="宋体" w:cs="Times New Roman"/>
      <w:kern w:val="0"/>
      <w:szCs w:val="20"/>
    </w:rPr>
  </w:style>
  <w:style w:type="character" w:customStyle="1" w:styleId="28">
    <w:name w:val="bsharetext"/>
    <w:basedOn w:val="15"/>
    <w:qFormat/>
    <w:uiPriority w:val="0"/>
  </w:style>
  <w:style w:type="paragraph" w:customStyle="1" w:styleId="29">
    <w:name w:val="Table Paragraph"/>
    <w:basedOn w:val="1"/>
    <w:qFormat/>
    <w:uiPriority w:val="1"/>
    <w:pPr>
      <w:jc w:val="left"/>
    </w:pPr>
    <w:rPr>
      <w:rFonts w:ascii="Calibri" w:hAnsi="Calibri"/>
      <w:kern w:val="0"/>
      <w:sz w:val="22"/>
      <w:szCs w:val="22"/>
      <w:lang w:eastAsia="en-US"/>
    </w:rPr>
  </w:style>
  <w:style w:type="paragraph" w:customStyle="1" w:styleId="30">
    <w:name w:val="表"/>
    <w:basedOn w:val="1"/>
    <w:qFormat/>
    <w:uiPriority w:val="0"/>
    <w:pPr>
      <w:snapToGrid w:val="0"/>
      <w:jc w:val="center"/>
    </w:pPr>
    <w:rPr>
      <w:rFonts w:ascii="Times New Roman" w:eastAsia="仿宋_GB2312"/>
      <w:spacing w:val="2"/>
      <w:sz w:val="28"/>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2093</Words>
  <Characters>2493</Characters>
  <Lines>0</Lines>
  <Paragraphs>0</Paragraphs>
  <TotalTime>5</TotalTime>
  <ScaleCrop>false</ScaleCrop>
  <LinksUpToDate>false</LinksUpToDate>
  <CharactersWithSpaces>2631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2019-01-23T02:44:00Z</dcterms:created>
  <dc:creator>Administrator</dc:creator>
  <cp:lastModifiedBy>千与牵</cp:lastModifiedBy>
  <cp:lastPrinted>2019-03-24T11:25:00Z</cp:lastPrinted>
  <dcterms:modified xsi:type="dcterms:W3CDTF">2023-11-14T01:46:32Z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E5878CCE0D0D41AF92FD52507C5A8747</vt:lpwstr>
  </property>
</Properties>
</file>