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94AFE">
      <w:pPr>
        <w:jc w:val="center"/>
        <w:rPr>
          <w:rFonts w:hint="eastAsia"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关于开展</w:t>
      </w:r>
      <w:r>
        <w:rPr>
          <w:rFonts w:hint="eastAsia" w:ascii="黑体" w:hAnsi="黑体" w:eastAsia="黑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台州市立医院精</w:t>
      </w:r>
      <w:r>
        <w:rPr>
          <w:rFonts w:hint="eastAsia"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细化</w:t>
      </w:r>
      <w:r>
        <w:rPr>
          <w:rFonts w:hint="eastAsia" w:ascii="黑体" w:hAnsi="黑体" w:eastAsia="黑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成本核算系统社会市场需求调查的公告</w:t>
      </w:r>
    </w:p>
    <w:p w14:paraId="320A6580">
      <w:pPr>
        <w:jc w:val="center"/>
        <w:rPr>
          <w:rFonts w:hint="eastAsia"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1E3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医院根据目前工作需要，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购置精细化全成本核算系统，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现对该项目面向社会进行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调研，欢迎具有资质条件的供应商参加项目调研论证。</w:t>
      </w:r>
    </w:p>
    <w:p w14:paraId="1776B2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台州市立医院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精细化全成本核算系统</w:t>
      </w:r>
    </w:p>
    <w:p w14:paraId="6F2C04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项目内容及要求</w:t>
      </w:r>
    </w:p>
    <w:p w14:paraId="79627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医院精细化全成本核算系统建设，在业务功能上满足成本数据采集、成本归集、分摊、核算、分析和报告的需求，建立院科全成本核算、诊次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/床日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成本核算、医疗服务项目成本核算、病种成本核算及DRG成本核算。</w:t>
      </w:r>
      <w:bookmarkStart w:id="0" w:name="_GoBack"/>
      <w:bookmarkEnd w:id="0"/>
    </w:p>
    <w:p w14:paraId="73D18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系统软件应符合国家现行医院新《中华人民共和国会计法》、《政府会计制度》、《事业单位成本核算基本指引》、《医院等级评审》、《医院智慧管理分级评估标准体系》、《公立医院高质量发展》、《公立医院运营管理信息化功能指引》、《公立医院成本核算指导手册》等医院全成本管理相关政策制度文件的内容及要求。</w:t>
      </w:r>
    </w:p>
    <w:p w14:paraId="1B8AEBC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640" w:firstLineChars="20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三、供应商应具备的条件：</w:t>
      </w:r>
    </w:p>
    <w:p w14:paraId="078D25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640" w:firstLineChars="20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具有独立承担民事责任的能力；</w:t>
      </w:r>
    </w:p>
    <w:p w14:paraId="34207A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640" w:firstLineChars="20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具有良好的商业信誉和健全的财务会计制度；</w:t>
      </w:r>
    </w:p>
    <w:p w14:paraId="186787D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672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具有相关领域的成功案例和丰富经验；</w:t>
      </w:r>
    </w:p>
    <w:p w14:paraId="28E7779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640" w:firstLineChars="20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具备良好的售后服务和技术支持能力，确保系统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后续运行使用</w:t>
      </w:r>
      <w:r>
        <w:rPr>
          <w:rFonts w:hint="default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的稳定和持续优化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67674BE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640" w:firstLineChars="20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严格遵守国家有关建设、采购相关法律法规以及廉政建设规定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6A593CB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640" w:firstLineChars="20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营业执照经营范围应包括“信息技术咨询（或计算机技术咨询服务）”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51B057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640" w:firstLineChars="20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供应商需提供资料如下：</w:t>
      </w:r>
    </w:p>
    <w:p w14:paraId="661C2A6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640" w:firstLineChars="20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公司营业执照</w:t>
      </w:r>
    </w:p>
    <w:p w14:paraId="1499775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640" w:firstLineChars="200"/>
        <w:textAlignment w:val="auto"/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法人授权委托书(市场调研是法定代表人的无需提供)</w:t>
      </w:r>
    </w:p>
    <w:p w14:paraId="4DFA079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640" w:firstLineChars="20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所供产品软件著作权登记证书复印件</w:t>
      </w:r>
    </w:p>
    <w:p w14:paraId="1BD025F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640" w:firstLineChars="20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产品介绍方案及功能配置详细说明</w:t>
      </w:r>
    </w:p>
    <w:p w14:paraId="7F9F73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640" w:firstLineChars="20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所供产品类似项目案例合同复印件（不少于1个项目案例）</w:t>
      </w:r>
    </w:p>
    <w:p w14:paraId="2CC7C8B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640" w:firstLineChars="20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其他供应商认为需要提供的资质材料</w:t>
      </w:r>
    </w:p>
    <w:p w14:paraId="0195349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640" w:firstLineChars="200"/>
        <w:textAlignment w:val="auto"/>
        <w:rPr>
          <w:rFonts w:hint="default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、注意事项</w:t>
      </w:r>
    </w:p>
    <w:p w14:paraId="0B715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本次社会市场需求调查可通过现场提交、纸质邮寄、扫描发邮件等方式完成，有意向企业请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根据“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供应商需提供资料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目录提供相关资料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各1份，加盖公章注明与原件一致。</w:t>
      </w:r>
    </w:p>
    <w:p w14:paraId="4C451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本次社会市场需求调查活动仅为征集项目方案的调研论证使用，非资格预审。投递人相关资料一经递交后，不予退回。</w:t>
      </w:r>
    </w:p>
    <w:p w14:paraId="1407F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无论征集供应商是否采用，报名人应保证所递交的材料，不产生因第三方提出侵犯其专利权、商标权或其它知识产权而引起的法律和经济纠纷，如因专利权、商标权或其它知识产权而引起法律和经济纠纷，由报名人承担所有相关责任。对所有自愿递交调研资料的报名人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不给予任何形式的经济和物资补偿，一切费用均由报名人自行承担。</w:t>
      </w:r>
    </w:p>
    <w:p w14:paraId="35572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调研公告及报名时限：</w:t>
      </w:r>
    </w:p>
    <w:p w14:paraId="38DEB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时限：</w:t>
      </w:r>
    </w:p>
    <w:p w14:paraId="5522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请有意向参与该项目调研的公司于截止日前将调研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相关资料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提交。截止时间：2025年 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日下午17:30。</w:t>
      </w:r>
    </w:p>
    <w:p w14:paraId="4B0ED20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调研时间和地点:调研时间、地点，具体以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通知为准；参加本调研项目的供应商在调研过程中必须到场，调研时请携带法人代表授权书和身份证复印件，以上材料均加盖公章。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单位应按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通知时间准时到会，迟到者以自动弃权论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调研时参与商作不超过</w:t>
      </w:r>
      <w:r>
        <w:rPr>
          <w:rFonts w:hint="default"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分钟的幻灯或视频汇报，并对调研人员的相关提问进行回答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CD05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台州市椒江区市府大道东581号</w:t>
      </w:r>
    </w:p>
    <w:p w14:paraId="2F07C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18000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16334093@qq.com</w:t>
      </w:r>
    </w:p>
    <w:p w14:paraId="611FC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13515762923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赵女士</w:t>
      </w:r>
    </w:p>
    <w:p w14:paraId="67706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AB4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A75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07E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E84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C83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BD1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951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附件1：调研报名表</w:t>
      </w:r>
    </w:p>
    <w:tbl>
      <w:tblPr>
        <w:tblStyle w:val="8"/>
        <w:tblW w:w="83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5"/>
        <w:gridCol w:w="2169"/>
        <w:gridCol w:w="2068"/>
        <w:gridCol w:w="1434"/>
      </w:tblGrid>
      <w:tr w14:paraId="4B50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8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9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参加人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名称</w:t>
            </w:r>
          </w:p>
          <w:p w14:paraId="17C6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（全称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加盖公章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）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E2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　</w:t>
            </w:r>
          </w:p>
        </w:tc>
      </w:tr>
      <w:tr w14:paraId="1178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2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A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参加人所属类型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B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微软雅黑" w:eastAsia="仿宋_GB2312" w:cs="仿宋_GB2312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bidi="ar"/>
              </w:rPr>
              <w:t>（ ）</w:t>
            </w:r>
            <w:r>
              <w:rPr>
                <w:rFonts w:hint="eastAsia" w:ascii="仿宋_GB2312" w:hAnsi="微软雅黑" w:eastAsia="仿宋_GB2312" w:cs="仿宋_GB2312"/>
                <w:b w:val="0"/>
                <w:bCs w:val="0"/>
                <w:color w:val="333333"/>
                <w:kern w:val="0"/>
                <w:sz w:val="32"/>
                <w:szCs w:val="32"/>
                <w:lang w:val="en-US" w:eastAsia="zh-CN" w:bidi="ar"/>
              </w:rPr>
              <w:t>总集单位</w:t>
            </w:r>
          </w:p>
          <w:p w14:paraId="0BFDE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bidi="ar"/>
              </w:rPr>
              <w:t>（ ）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  <w:t>系统软件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bidi="ar"/>
              </w:rPr>
              <w:t>生产企业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  <w:p w14:paraId="2705F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bidi="ar"/>
              </w:rPr>
              <w:t>（ ）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  <w:t>系统软件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bidi="ar"/>
              </w:rPr>
              <w:t>代理商</w:t>
            </w:r>
          </w:p>
        </w:tc>
      </w:tr>
      <w:tr w14:paraId="5EA6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0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384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5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报价（RMB）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92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5E71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维保期及维保费率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1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09A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联系人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D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color w:val="333333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018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地址</w:t>
            </w:r>
          </w:p>
        </w:tc>
        <w:tc>
          <w:tcPr>
            <w:tcW w:w="2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A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2F8F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A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邮箱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2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</w:p>
        </w:tc>
      </w:tr>
      <w:tr w14:paraId="68E6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3" w:hRule="atLeast"/>
        </w:trPr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3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报名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日期</w:t>
            </w:r>
          </w:p>
        </w:tc>
        <w:tc>
          <w:tcPr>
            <w:tcW w:w="56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F32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192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日</w:t>
            </w:r>
          </w:p>
        </w:tc>
      </w:tr>
    </w:tbl>
    <w:p w14:paraId="54DBA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7EB9B84"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BD5CB"/>
    <w:multiLevelType w:val="singleLevel"/>
    <w:tmpl w:val="4A4BD5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06106F"/>
    <w:multiLevelType w:val="multilevel"/>
    <w:tmpl w:val="7306106F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Arial" w:hAnsi="Arial" w:eastAsia="宋体" w:cs="Times New Roman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Arial" w:hAnsi="Arial" w:eastAsia="宋体" w:cs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Arial" w:hAnsi="Arial" w:eastAsia="宋体" w:cs="Times New Roman"/>
      </w:rPr>
    </w:lvl>
    <w:lvl w:ilvl="3" w:tentative="0">
      <w:start w:val="1"/>
      <w:numFmt w:val="decimal"/>
      <w:pStyle w:val="2"/>
      <w:suff w:val="space"/>
      <w:lvlText w:val="%1.%2.%3.%4"/>
      <w:lvlJc w:val="left"/>
      <w:pPr>
        <w:ind w:left="0" w:firstLine="0"/>
      </w:pPr>
      <w:rPr>
        <w:rFonts w:hint="eastAsia" w:cs="Times New Roman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 w:cs="Times New Roman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 w:ascii="Arial" w:hAnsi="Arial" w:cs="Arial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cs="Times New Roman"/>
      </w:rPr>
    </w:lvl>
  </w:abstractNum>
  <w:abstractNum w:abstractNumId="2">
    <w:nsid w:val="73C5B6BE"/>
    <w:multiLevelType w:val="singleLevel"/>
    <w:tmpl w:val="73C5B6B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GRmNzNlNDQwNTNjODFkOWRiN2VmMjI5NDZhZjkifQ=="/>
  </w:docVars>
  <w:rsids>
    <w:rsidRoot w:val="00807CDF"/>
    <w:rsid w:val="000E033E"/>
    <w:rsid w:val="001346CA"/>
    <w:rsid w:val="00161EF8"/>
    <w:rsid w:val="001662D1"/>
    <w:rsid w:val="001F696D"/>
    <w:rsid w:val="0023141A"/>
    <w:rsid w:val="00247E94"/>
    <w:rsid w:val="003274D6"/>
    <w:rsid w:val="003D5A32"/>
    <w:rsid w:val="00590F4B"/>
    <w:rsid w:val="006118AE"/>
    <w:rsid w:val="00645CBE"/>
    <w:rsid w:val="006870AE"/>
    <w:rsid w:val="006B7667"/>
    <w:rsid w:val="006D5F8F"/>
    <w:rsid w:val="00716AD2"/>
    <w:rsid w:val="00730439"/>
    <w:rsid w:val="00733ECD"/>
    <w:rsid w:val="00793BCD"/>
    <w:rsid w:val="00807CDF"/>
    <w:rsid w:val="0083511B"/>
    <w:rsid w:val="008434EC"/>
    <w:rsid w:val="008D19FA"/>
    <w:rsid w:val="008F4DAD"/>
    <w:rsid w:val="008F708C"/>
    <w:rsid w:val="00937675"/>
    <w:rsid w:val="009D7E83"/>
    <w:rsid w:val="00A74DED"/>
    <w:rsid w:val="00AE0703"/>
    <w:rsid w:val="00B51027"/>
    <w:rsid w:val="00B66654"/>
    <w:rsid w:val="00BA37D1"/>
    <w:rsid w:val="00BF57C4"/>
    <w:rsid w:val="00C01131"/>
    <w:rsid w:val="00C0729C"/>
    <w:rsid w:val="00CB32B0"/>
    <w:rsid w:val="00D0022B"/>
    <w:rsid w:val="00D66DFC"/>
    <w:rsid w:val="00DC109B"/>
    <w:rsid w:val="00DC1DA8"/>
    <w:rsid w:val="00DC7141"/>
    <w:rsid w:val="00DF3043"/>
    <w:rsid w:val="00E20701"/>
    <w:rsid w:val="00E80991"/>
    <w:rsid w:val="00ED621F"/>
    <w:rsid w:val="00F41D71"/>
    <w:rsid w:val="00F943C9"/>
    <w:rsid w:val="00FB1FFC"/>
    <w:rsid w:val="00FB781C"/>
    <w:rsid w:val="06C9187F"/>
    <w:rsid w:val="265D1FEF"/>
    <w:rsid w:val="345334F2"/>
    <w:rsid w:val="3A54671D"/>
    <w:rsid w:val="3B3D6569"/>
    <w:rsid w:val="421E4E20"/>
    <w:rsid w:val="4A6B1655"/>
    <w:rsid w:val="5830773D"/>
    <w:rsid w:val="593B545D"/>
    <w:rsid w:val="5B1B68B3"/>
    <w:rsid w:val="70054C0E"/>
    <w:rsid w:val="73571C35"/>
    <w:rsid w:val="75564E55"/>
    <w:rsid w:val="75F4306B"/>
    <w:rsid w:val="7C426C0D"/>
    <w:rsid w:val="7E862CB0"/>
    <w:rsid w:val="7F8903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120" w:after="120"/>
      <w:outlineLvl w:val="3"/>
    </w:pPr>
    <w:rPr>
      <w:rFonts w:ascii="Arial" w:hAnsi="Arial" w:cs="Arial"/>
      <w:b/>
      <w:bCs/>
      <w:color w:val="00000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link w:val="14"/>
    <w:qFormat/>
    <w:uiPriority w:val="99"/>
    <w:pPr>
      <w:spacing w:after="0" w:line="480" w:lineRule="atLeast"/>
      <w:ind w:firstLine="420" w:firstLineChars="100"/>
    </w:pPr>
    <w:rPr>
      <w:rFonts w:ascii="??_GB2312" w:hAnsi="Times New Roman" w:eastAsia="宋体" w:cs="Times New Roman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Char"/>
    <w:basedOn w:val="10"/>
    <w:link w:val="3"/>
    <w:semiHidden/>
    <w:qFormat/>
    <w:uiPriority w:val="99"/>
  </w:style>
  <w:style w:type="character" w:customStyle="1" w:styleId="14">
    <w:name w:val="正文首行缩进 Char"/>
    <w:basedOn w:val="13"/>
    <w:link w:val="7"/>
    <w:qFormat/>
    <w:uiPriority w:val="99"/>
    <w:rPr>
      <w:rFonts w:ascii="??_GB2312" w:hAnsi="Times New Roman" w:eastAsia="宋体" w:cs="Times New Roman"/>
      <w:szCs w:val="24"/>
    </w:rPr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1226</Words>
  <Characters>1270</Characters>
  <Lines>6</Lines>
  <Paragraphs>1</Paragraphs>
  <TotalTime>11</TotalTime>
  <ScaleCrop>false</ScaleCrop>
  <LinksUpToDate>false</LinksUpToDate>
  <CharactersWithSpaces>1296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2023-03-30T07:24:00Z</dcterms:created>
  <dc:creator>陈毓玲</dc:creator>
  <cp:lastModifiedBy>zhaolu</cp:lastModifiedBy>
  <dcterms:modified xsi:type="dcterms:W3CDTF">2025-02-14T08:08:42Z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0578FAE7220C4320B055F475A87A2249_13</vt:lpwstr>
  </property>
  <property fmtid="{D5CDD505-2E9C-101B-9397-08002B2CF9AE}" pid="4" name="KSOSaveFontToCloudKey">
    <vt:lpwstr>478229097_btnclosed</vt:lpwstr>
  </property>
  <property fmtid="{D5CDD505-2E9C-101B-9397-08002B2CF9AE}" pid="5" name="KSOTemplateDocerSaveRecord">
    <vt:lpwstr>eyJoZGlkIjoiNDk3MTZkYmQ1NWIwMmI2ZDM5YzQ5OTkwMTIyYWM0NTEiLCJ1c2VySWQiOiI0NDk3MDU5OTUifQ==</vt:lpwstr>
  </property>
</Properties>
</file>