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DDD3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DF08E24">
      <w:pPr>
        <w:pStyle w:val="20"/>
        <w:rPr>
          <w:rFonts w:ascii="宋体" w:hAnsi="宋体" w:eastAsia="宋体" w:cs="Times New Roman"/>
          <w:kern w:val="2"/>
          <w:sz w:val="21"/>
          <w:szCs w:val="24"/>
          <w:lang w:val="en-US" w:eastAsia="zh-CN" w:bidi="ar-SA"/>
        </w:rPr>
      </w:pPr>
    </w:p>
    <w:p w14:paraId="08618ACA">
      <w:pPr>
        <w:rPr>
          <w:lang w:val="en-US" w:eastAsia="zh-CN"/>
        </w:rPr>
      </w:pPr>
    </w:p>
    <w:p w14:paraId="587A8F62">
      <w:pPr>
        <w:pStyle w:val="20"/>
        <w:rPr>
          <w:rFonts w:ascii="宋体" w:hAnsi="宋体" w:eastAsia="宋体" w:cs="Times New Roman"/>
          <w:kern w:val="2"/>
          <w:sz w:val="21"/>
          <w:szCs w:val="24"/>
          <w:lang w:val="en-US" w:eastAsia="zh-CN" w:bidi="ar-SA"/>
        </w:rPr>
      </w:pPr>
    </w:p>
    <w:p w14:paraId="5F656F11">
      <w:pPr>
        <w:rPr>
          <w:rFonts w:ascii="宋体" w:hAnsi="宋体" w:eastAsia="宋体" w:cs="Times New Roman"/>
          <w:kern w:val="2"/>
          <w:sz w:val="21"/>
          <w:szCs w:val="24"/>
          <w:lang w:val="en-US" w:eastAsia="zh-CN" w:bidi="ar-SA"/>
        </w:rPr>
      </w:pPr>
    </w:p>
    <w:p w14:paraId="16FDDDA7">
      <w:pPr>
        <w:pStyle w:val="20"/>
        <w:rPr>
          <w:rFonts w:ascii="宋体" w:hAnsi="宋体" w:eastAsia="宋体" w:cs="Times New Roman"/>
          <w:kern w:val="2"/>
          <w:sz w:val="21"/>
          <w:szCs w:val="24"/>
          <w:lang w:val="en-US" w:eastAsia="zh-CN" w:bidi="ar-SA"/>
        </w:rPr>
      </w:pPr>
    </w:p>
    <w:p w14:paraId="04F0D1A6">
      <w:pPr>
        <w:rPr>
          <w:lang w:val="en-US" w:eastAsia="zh-CN"/>
        </w:rPr>
      </w:pPr>
    </w:p>
    <w:p w14:paraId="148FFAF4">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台州市立医院迁建工程二期标识标牌</w:t>
      </w:r>
    </w:p>
    <w:p w14:paraId="26ECF37D">
      <w:pPr>
        <w:spacing w:line="1200" w:lineRule="exact"/>
        <w:ind w:left="0" w:leftChars="0" w:firstLine="0" w:firstLineChars="0"/>
        <w:jc w:val="center"/>
        <w:rPr>
          <w:rFonts w:hint="eastAsia" w:ascii="宋体" w:hAnsi="宋体" w:eastAsia="宋体"/>
          <w:sz w:val="36"/>
          <w:szCs w:val="36"/>
        </w:rPr>
      </w:pPr>
    </w:p>
    <w:p w14:paraId="3D03C6EA">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市场</w:t>
      </w:r>
      <w:r>
        <w:rPr>
          <w:rFonts w:hint="eastAsia" w:ascii="宋体" w:hAnsi="宋体"/>
          <w:sz w:val="44"/>
          <w:szCs w:val="44"/>
          <w:lang w:val="en-US" w:eastAsia="zh-CN"/>
        </w:rPr>
        <w:t>咨询调研文件</w:t>
      </w:r>
    </w:p>
    <w:p w14:paraId="1C6C6463">
      <w:pPr>
        <w:spacing w:line="1200" w:lineRule="exact"/>
        <w:ind w:firstLine="0" w:firstLineChars="0"/>
        <w:jc w:val="center"/>
        <w:rPr>
          <w:rFonts w:hint="eastAsia" w:ascii="宋体" w:hAnsi="宋体" w:eastAsia="宋体"/>
          <w:sz w:val="44"/>
          <w:szCs w:val="44"/>
        </w:rPr>
      </w:pPr>
    </w:p>
    <w:p w14:paraId="628E48CA">
      <w:pPr>
        <w:pStyle w:val="20"/>
        <w:rPr>
          <w:rFonts w:hint="eastAsia" w:ascii="宋体" w:hAnsi="宋体" w:eastAsia="宋体"/>
          <w:sz w:val="44"/>
          <w:szCs w:val="44"/>
        </w:rPr>
      </w:pPr>
    </w:p>
    <w:p w14:paraId="0CA08931">
      <w:pPr>
        <w:rPr>
          <w:rFonts w:hint="eastAsia" w:ascii="宋体" w:hAnsi="宋体" w:eastAsia="宋体"/>
          <w:sz w:val="44"/>
          <w:szCs w:val="44"/>
        </w:rPr>
      </w:pPr>
    </w:p>
    <w:p w14:paraId="62953599">
      <w:pPr>
        <w:pStyle w:val="20"/>
        <w:rPr>
          <w:rFonts w:hint="eastAsia" w:ascii="宋体" w:hAnsi="宋体" w:eastAsia="宋体"/>
          <w:sz w:val="44"/>
          <w:szCs w:val="44"/>
        </w:rPr>
      </w:pPr>
    </w:p>
    <w:p w14:paraId="40E5956D">
      <w:pPr>
        <w:rPr>
          <w:rFonts w:hint="eastAsia" w:ascii="宋体" w:hAnsi="宋体" w:eastAsia="宋体"/>
          <w:sz w:val="44"/>
          <w:szCs w:val="44"/>
        </w:rPr>
      </w:pPr>
    </w:p>
    <w:p w14:paraId="2F928B59">
      <w:pPr>
        <w:pStyle w:val="20"/>
        <w:rPr>
          <w:rFonts w:hint="eastAsia" w:ascii="宋体" w:hAnsi="宋体" w:eastAsia="宋体"/>
          <w:sz w:val="44"/>
          <w:szCs w:val="44"/>
        </w:rPr>
      </w:pPr>
    </w:p>
    <w:p w14:paraId="504E0B9E">
      <w:pPr>
        <w:rPr>
          <w:rFonts w:hint="eastAsia"/>
        </w:rPr>
      </w:pPr>
    </w:p>
    <w:p w14:paraId="61F4014E">
      <w:pPr>
        <w:spacing w:line="1200" w:lineRule="exact"/>
        <w:jc w:val="center"/>
        <w:rPr>
          <w:rFonts w:hint="eastAsia" w:ascii="宋体" w:hAnsi="宋体" w:eastAsia="宋体"/>
          <w:sz w:val="30"/>
          <w:szCs w:val="30"/>
        </w:rPr>
      </w:pPr>
      <w:r>
        <w:rPr>
          <w:rFonts w:hint="eastAsia" w:ascii="宋体" w:hAnsi="宋体" w:eastAsia="宋体"/>
          <w:sz w:val="30"/>
          <w:szCs w:val="30"/>
        </w:rPr>
        <w:t>台州市立医院</w:t>
      </w:r>
    </w:p>
    <w:p w14:paraId="61B64B50">
      <w:pPr>
        <w:spacing w:line="1200" w:lineRule="exact"/>
        <w:jc w:val="center"/>
        <w:rPr>
          <w:rFonts w:hint="eastAsia" w:ascii="宋体" w:hAnsi="宋体" w:eastAsia="宋体"/>
          <w:sz w:val="21"/>
        </w:rPr>
      </w:pPr>
      <w:r>
        <w:rPr>
          <w:rFonts w:hint="eastAsia" w:ascii="宋体" w:hAnsi="宋体"/>
          <w:sz w:val="30"/>
          <w:szCs w:val="30"/>
          <w:lang w:val="en-US" w:eastAsia="zh-CN"/>
        </w:rPr>
        <w:t>2025年7月</w:t>
      </w:r>
      <w:r>
        <w:rPr>
          <w:rFonts w:hint="eastAsia" w:ascii="宋体" w:hAnsi="宋体" w:eastAsia="宋体"/>
          <w:sz w:val="21"/>
        </w:rPr>
        <w:br w:type="page"/>
      </w:r>
    </w:p>
    <w:p w14:paraId="105B5E3C">
      <w:pPr>
        <w:pStyle w:val="4"/>
        <w:spacing w:before="120" w:beforeLines="50" w:after="120" w:afterLines="50"/>
        <w:ind w:firstLine="241"/>
        <w:jc w:val="center"/>
        <w:rPr>
          <w:rFonts w:hint="default" w:ascii="黑体" w:hAnsi="宋体" w:eastAsia="宋体"/>
          <w:bCs w:val="0"/>
          <w:szCs w:val="20"/>
          <w:lang w:val="en-US" w:eastAsia="zh-CN"/>
        </w:rPr>
      </w:pPr>
      <w:bookmarkStart w:id="0" w:name="_Toc15144"/>
      <w:bookmarkStart w:id="1" w:name="_Toc25174519"/>
      <w:bookmarkStart w:id="2" w:name="_Toc760"/>
      <w:bookmarkStart w:id="3" w:name="_Toc22361"/>
      <w:r>
        <w:rPr>
          <w:rFonts w:hint="eastAsia" w:ascii="黑体" w:hAnsi="宋体"/>
          <w:bCs w:val="0"/>
          <w:szCs w:val="20"/>
        </w:rPr>
        <w:t>第</w:t>
      </w:r>
      <w:r>
        <w:rPr>
          <w:rFonts w:hint="eastAsia" w:ascii="黑体" w:hAnsi="宋体"/>
          <w:bCs w:val="0"/>
          <w:szCs w:val="20"/>
          <w:lang w:val="en-US" w:eastAsia="zh-CN"/>
        </w:rPr>
        <w:t>一</w:t>
      </w:r>
      <w:r>
        <w:rPr>
          <w:rFonts w:hint="eastAsia" w:ascii="黑体" w:hAnsi="宋体"/>
          <w:bCs w:val="0"/>
          <w:szCs w:val="20"/>
        </w:rPr>
        <w:t xml:space="preserve">章 </w:t>
      </w:r>
      <w:r>
        <w:rPr>
          <w:rFonts w:hint="eastAsia" w:ascii="黑体" w:hAnsi="宋体"/>
          <w:bCs w:val="0"/>
          <w:szCs w:val="20"/>
          <w:lang w:val="en-US" w:eastAsia="zh-CN"/>
        </w:rPr>
        <w:t>市场咨询调研须知</w:t>
      </w:r>
    </w:p>
    <w:tbl>
      <w:tblPr>
        <w:tblStyle w:val="16"/>
        <w:tblpPr w:leftFromText="180" w:rightFromText="180" w:vertAnchor="text" w:horzAnchor="page" w:tblpX="1810" w:tblpY="313"/>
        <w:tblOverlap w:val="never"/>
        <w:tblW w:w="9959" w:type="dxa"/>
        <w:tblInd w:w="0" w:type="dxa"/>
        <w:tblLayout w:type="fixed"/>
        <w:tblCellMar>
          <w:top w:w="0" w:type="dxa"/>
          <w:left w:w="108" w:type="dxa"/>
          <w:bottom w:w="0" w:type="dxa"/>
          <w:right w:w="108" w:type="dxa"/>
        </w:tblCellMar>
      </w:tblPr>
      <w:tblGrid>
        <w:gridCol w:w="1141"/>
        <w:gridCol w:w="1844"/>
        <w:gridCol w:w="6974"/>
      </w:tblGrid>
      <w:tr w14:paraId="16FF0C48">
        <w:tblPrEx>
          <w:tblCellMar>
            <w:top w:w="0" w:type="dxa"/>
            <w:left w:w="108" w:type="dxa"/>
            <w:bottom w:w="0" w:type="dxa"/>
            <w:right w:w="108" w:type="dxa"/>
          </w:tblCellMar>
        </w:tblPrEx>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14:paraId="27144F85">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14:paraId="7506DB53">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14:paraId="515D9249">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14:paraId="5F2BF246">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68CC6B02">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14:paraId="6CC332C6">
            <w:pPr>
              <w:ind w:firstLine="210"/>
              <w:jc w:val="center"/>
              <w:rPr>
                <w:rFonts w:ascii="宋体" w:hAnsi="宋体"/>
                <w:szCs w:val="21"/>
              </w:rPr>
            </w:pPr>
            <w:r>
              <w:rPr>
                <w:rFonts w:hint="eastAsia" w:ascii="宋体" w:hAnsi="宋体" w:cs="宋体"/>
                <w:szCs w:val="21"/>
                <w:lang w:val="en-US" w:eastAsia="zh-CN"/>
              </w:rPr>
              <w:t>市场咨询调研</w:t>
            </w:r>
            <w:r>
              <w:rPr>
                <w:rFonts w:hint="eastAsia" w:ascii="宋体" w:hAnsi="宋体" w:cs="宋体"/>
                <w:szCs w:val="21"/>
              </w:rPr>
              <w:t>范围</w:t>
            </w:r>
          </w:p>
        </w:tc>
        <w:tc>
          <w:tcPr>
            <w:tcW w:w="6974" w:type="dxa"/>
            <w:tcBorders>
              <w:top w:val="single" w:color="auto" w:sz="4" w:space="0"/>
              <w:left w:val="single" w:color="auto" w:sz="4" w:space="0"/>
              <w:bottom w:val="single" w:color="auto" w:sz="4" w:space="0"/>
              <w:right w:val="single" w:color="auto" w:sz="4" w:space="0"/>
            </w:tcBorders>
            <w:vAlign w:val="center"/>
          </w:tcPr>
          <w:p w14:paraId="428DE2E4">
            <w:pPr>
              <w:spacing w:line="360" w:lineRule="auto"/>
              <w:ind w:firstLine="210"/>
            </w:pPr>
            <w:r>
              <w:rPr>
                <w:rFonts w:hint="eastAsia" w:ascii="宋体" w:hAnsi="宋体" w:cs="宋体"/>
                <w:szCs w:val="21"/>
                <w:lang w:eastAsia="zh-CN"/>
              </w:rPr>
              <w:t>台州市立医院迁建工程二期</w:t>
            </w:r>
            <w:r>
              <w:rPr>
                <w:rFonts w:hint="eastAsia" w:ascii="宋体" w:hAnsi="宋体" w:cs="宋体"/>
                <w:szCs w:val="21"/>
                <w:lang w:val="en-US" w:eastAsia="zh-CN"/>
              </w:rPr>
              <w:t>标识标牌</w:t>
            </w:r>
            <w:r>
              <w:rPr>
                <w:rFonts w:hint="eastAsia"/>
                <w:lang w:eastAsia="zh-CN"/>
              </w:rPr>
              <w:t>市场咨询调研</w:t>
            </w:r>
            <w:r>
              <w:rPr>
                <w:rFonts w:hint="eastAsia"/>
              </w:rPr>
              <w:t>包括</w:t>
            </w:r>
            <w:r>
              <w:rPr>
                <w:rFonts w:hint="eastAsia"/>
                <w:lang w:val="en-US" w:eastAsia="zh-CN"/>
              </w:rPr>
              <w:t>二期标识标牌</w:t>
            </w:r>
            <w:r>
              <w:rPr>
                <w:rFonts w:hint="eastAsia"/>
              </w:rPr>
              <w:t>深化设计、制造、供货、运输装卸、安装、调试、验收，培训及售后服务等工作内容</w:t>
            </w:r>
            <w:r>
              <w:rPr>
                <w:rFonts w:hint="eastAsia"/>
                <w:lang w:eastAsia="zh-CN"/>
              </w:rPr>
              <w:t>，</w:t>
            </w:r>
            <w:r>
              <w:rPr>
                <w:rFonts w:hint="eastAsia"/>
                <w:lang w:val="en-US" w:eastAsia="zh-CN"/>
              </w:rPr>
              <w:t>包括一期原标识的优化、更换</w:t>
            </w:r>
            <w:r>
              <w:rPr>
                <w:rFonts w:hint="eastAsia"/>
              </w:rPr>
              <w:t>。详见</w:t>
            </w:r>
            <w:r>
              <w:rPr>
                <w:rFonts w:hint="eastAsia"/>
                <w:lang w:eastAsia="zh-CN"/>
              </w:rPr>
              <w:t>《台州市立医院迁建工程二期</w:t>
            </w:r>
            <w:r>
              <w:rPr>
                <w:rFonts w:hint="eastAsia"/>
                <w:lang w:val="en-US" w:eastAsia="zh-CN"/>
              </w:rPr>
              <w:t>标识标牌</w:t>
            </w:r>
            <w:r>
              <w:rPr>
                <w:rFonts w:hint="eastAsia"/>
                <w:lang w:eastAsia="zh-CN"/>
              </w:rPr>
              <w:t>市场</w:t>
            </w:r>
            <w:r>
              <w:rPr>
                <w:rFonts w:hint="eastAsia"/>
                <w:lang w:val="en-US" w:eastAsia="zh-CN"/>
              </w:rPr>
              <w:t>咨询</w:t>
            </w:r>
            <w:r>
              <w:rPr>
                <w:rFonts w:hint="eastAsia"/>
                <w:lang w:eastAsia="zh-CN"/>
              </w:rPr>
              <w:t>调研一览表》</w:t>
            </w:r>
            <w:r>
              <w:rPr>
                <w:rFonts w:hint="eastAsia"/>
              </w:rPr>
              <w:t>。</w:t>
            </w:r>
          </w:p>
        </w:tc>
      </w:tr>
      <w:tr w14:paraId="636F0E32">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14:paraId="7E88234B">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14:paraId="4CE1F2BD">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14:paraId="27C1431F">
            <w:pPr>
              <w:adjustRightInd w:val="0"/>
              <w:snapToGrid w:val="0"/>
              <w:ind w:firstLine="210"/>
              <w:rPr>
                <w:rFonts w:hint="eastAsia" w:ascii="宋体" w:hAnsi="宋体" w:eastAsia="宋体"/>
                <w:szCs w:val="21"/>
                <w:lang w:val="en-US" w:eastAsia="zh-CN"/>
              </w:rPr>
            </w:pPr>
            <w:r>
              <w:rPr>
                <w:rFonts w:hint="eastAsia" w:ascii="宋体" w:hAnsi="宋体" w:cs="宋体"/>
                <w:szCs w:val="21"/>
                <w:lang w:val="en-US" w:eastAsia="zh-CN"/>
              </w:rPr>
              <w:t>原则上工期</w:t>
            </w: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14:paraId="0A6F3645">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14:paraId="646731A2">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14:paraId="2914EB7C">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14:paraId="7B41A080">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24 </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14:paraId="4540F4CC">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14:paraId="147F8FDA">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14:paraId="0CA6054D">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14:paraId="7AB0CF58">
            <w:pPr>
              <w:adjustRightInd w:val="0"/>
              <w:snapToGrid w:val="0"/>
              <w:ind w:firstLine="210"/>
              <w:rPr>
                <w:rFonts w:ascii="宋体" w:hAnsi="宋体"/>
              </w:rPr>
            </w:pPr>
            <w:r>
              <w:rPr>
                <w:rFonts w:hint="eastAsia" w:ascii="宋体" w:hAnsi="宋体"/>
                <w:szCs w:val="21"/>
              </w:rPr>
              <w:t>合格。</w:t>
            </w:r>
          </w:p>
        </w:tc>
      </w:tr>
      <w:tr w14:paraId="0ED232A6">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0737A8B7">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14:paraId="4667D035">
            <w:pPr>
              <w:ind w:firstLine="0" w:firstLineChars="0"/>
              <w:jc w:val="center"/>
              <w:rPr>
                <w:rFonts w:ascii="宋体" w:hAnsi="宋体"/>
              </w:rPr>
            </w:pPr>
            <w:r>
              <w:rPr>
                <w:rFonts w:hint="eastAsia" w:ascii="宋体" w:hAnsi="宋体"/>
                <w:lang w:val="en-US" w:eastAsia="zh-CN"/>
              </w:rPr>
              <w:t>市场咨询调研参与</w:t>
            </w:r>
            <w:r>
              <w:rPr>
                <w:rFonts w:hint="eastAsia" w:ascii="宋体" w:hAnsi="宋体"/>
              </w:rPr>
              <w:t>人资质条件</w:t>
            </w:r>
          </w:p>
        </w:tc>
        <w:tc>
          <w:tcPr>
            <w:tcW w:w="6974" w:type="dxa"/>
            <w:tcBorders>
              <w:top w:val="single" w:color="auto" w:sz="4" w:space="0"/>
              <w:left w:val="single" w:color="auto" w:sz="4" w:space="0"/>
              <w:bottom w:val="single" w:color="auto" w:sz="4" w:space="0"/>
              <w:right w:val="single" w:color="auto" w:sz="4" w:space="0"/>
            </w:tcBorders>
            <w:vAlign w:val="center"/>
          </w:tcPr>
          <w:p w14:paraId="13398D4F">
            <w:pPr>
              <w:spacing w:line="360" w:lineRule="auto"/>
              <w:ind w:firstLine="420" w:firstLineChars="200"/>
            </w:pPr>
            <w:r>
              <w:rPr>
                <w:rFonts w:hint="eastAsia"/>
                <w:lang w:eastAsia="zh-CN"/>
              </w:rPr>
              <w:t>市场咨询调研</w:t>
            </w:r>
            <w:r>
              <w:t>人资质要求：</w:t>
            </w:r>
          </w:p>
          <w:p w14:paraId="00873A72">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14:paraId="07CF3B6B">
            <w:pPr>
              <w:rPr>
                <w:rFonts w:hint="eastAsia"/>
                <w:lang w:val="zh-CN"/>
              </w:rPr>
            </w:pPr>
            <w:r>
              <w:rPr>
                <w:rFonts w:hint="eastAsia"/>
                <w:lang w:val="zh-CN" w:eastAsia="zh-CN"/>
              </w:rPr>
              <w:t>2</w:t>
            </w:r>
            <w:r>
              <w:rPr>
                <w:rFonts w:hint="eastAsia"/>
                <w:lang w:val="zh-CN"/>
              </w:rPr>
              <w:t>、供应商20</w:t>
            </w:r>
            <w:r>
              <w:rPr>
                <w:rFonts w:hint="eastAsia"/>
                <w:lang w:val="en-US" w:eastAsia="zh-CN"/>
              </w:rPr>
              <w:t>23</w:t>
            </w:r>
            <w:r>
              <w:rPr>
                <w:rFonts w:hint="eastAsia"/>
                <w:lang w:val="zh-CN"/>
              </w:rPr>
              <w:t>年</w:t>
            </w:r>
            <w:r>
              <w:rPr>
                <w:rFonts w:hint="eastAsia"/>
                <w:lang w:val="en-US" w:eastAsia="zh-CN"/>
              </w:rPr>
              <w:t>1</w:t>
            </w:r>
            <w:r>
              <w:rPr>
                <w:rFonts w:hint="eastAsia"/>
                <w:lang w:val="zh-CN"/>
              </w:rPr>
              <w:t>月1日至市场咨询调研截止时间前</w:t>
            </w:r>
            <w:r>
              <w:rPr>
                <w:rFonts w:hint="eastAsia"/>
                <w:lang w:val="en-US" w:eastAsia="zh-CN"/>
              </w:rPr>
              <w:t>近三年</w:t>
            </w:r>
            <w:r>
              <w:rPr>
                <w:rFonts w:hint="eastAsia"/>
                <w:lang w:val="zh-CN"/>
              </w:rPr>
              <w:t>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14:paraId="7706C9D3">
            <w:pPr>
              <w:spacing w:line="240" w:lineRule="auto"/>
              <w:rPr>
                <w:rFonts w:hint="eastAsia"/>
                <w:lang w:val="zh-CN"/>
              </w:rPr>
            </w:pPr>
            <w:r>
              <w:rPr>
                <w:rFonts w:hint="eastAsia"/>
                <w:lang w:val="zh-CN" w:eastAsia="zh-CN"/>
              </w:rPr>
              <w:t>3</w:t>
            </w:r>
            <w:r>
              <w:rPr>
                <w:rFonts w:hint="eastAsia"/>
                <w:lang w:val="zh-CN"/>
              </w:rPr>
              <w:t>、具有独立法人资格及与本项目相适应的</w:t>
            </w:r>
            <w:r>
              <w:rPr>
                <w:rFonts w:hint="eastAsia"/>
                <w:lang w:val="en-US" w:eastAsia="zh-CN"/>
              </w:rPr>
              <w:t>生产</w:t>
            </w:r>
            <w:r>
              <w:rPr>
                <w:rFonts w:hint="eastAsia"/>
                <w:lang w:val="zh-CN"/>
              </w:rPr>
              <w:t>经营范围与能力（包括供应能力、施工能力、售后服务能力等）的生产厂商</w:t>
            </w:r>
          </w:p>
          <w:p w14:paraId="5729B2F4">
            <w:pPr>
              <w:rPr>
                <w:rFonts w:hint="eastAsia"/>
                <w:lang w:val="zh-CN"/>
              </w:rPr>
            </w:pPr>
            <w:r>
              <w:rPr>
                <w:rFonts w:hint="eastAsia"/>
                <w:lang w:val="zh-CN" w:eastAsia="zh-CN"/>
              </w:rPr>
              <w:t>4、</w:t>
            </w:r>
            <w:r>
              <w:rPr>
                <w:rFonts w:hint="eastAsia"/>
                <w:lang w:val="zh-CN"/>
              </w:rPr>
              <w:t>本项目不接受代理商的</w:t>
            </w:r>
            <w:r>
              <w:rPr>
                <w:rFonts w:hint="eastAsia"/>
                <w:lang w:val="zh-CN" w:eastAsia="zh-CN"/>
              </w:rPr>
              <w:t>市场咨询调研</w:t>
            </w:r>
            <w:r>
              <w:rPr>
                <w:rFonts w:hint="eastAsia"/>
                <w:lang w:val="zh-CN"/>
              </w:rPr>
              <w:t>。单位负责人为同一人或者存在直接控股、管理关系的不同供应商，不得参加</w:t>
            </w:r>
            <w:r>
              <w:rPr>
                <w:rFonts w:hint="eastAsia"/>
                <w:lang w:val="en-US" w:eastAsia="zh-CN"/>
              </w:rPr>
              <w:t>此</w:t>
            </w:r>
            <w:r>
              <w:rPr>
                <w:rFonts w:hint="eastAsia"/>
                <w:lang w:val="zh-CN"/>
              </w:rPr>
              <w:t>同一</w:t>
            </w:r>
            <w:r>
              <w:rPr>
                <w:rFonts w:hint="eastAsia"/>
                <w:lang w:val="en-US" w:eastAsia="zh-CN"/>
              </w:rPr>
              <w:t>项目的市场咨询调研</w:t>
            </w:r>
            <w:r>
              <w:rPr>
                <w:rFonts w:hint="eastAsia"/>
                <w:lang w:val="zh-CN"/>
              </w:rPr>
              <w:t>。</w:t>
            </w:r>
            <w:r>
              <w:rPr>
                <w:rFonts w:hint="eastAsia"/>
                <w:lang w:val="en-US" w:eastAsia="zh-CN"/>
              </w:rPr>
              <w:t>拟</w:t>
            </w:r>
            <w:r>
              <w:rPr>
                <w:rFonts w:hint="eastAsia"/>
                <w:lang w:val="zh-CN"/>
              </w:rPr>
              <w:t>为</w:t>
            </w:r>
            <w:r>
              <w:rPr>
                <w:rFonts w:hint="eastAsia"/>
                <w:lang w:val="en-US" w:eastAsia="zh-CN"/>
              </w:rPr>
              <w:t>此</w:t>
            </w:r>
            <w:r>
              <w:rPr>
                <w:rFonts w:hint="eastAsia"/>
                <w:lang w:val="zh-CN"/>
              </w:rPr>
              <w:t>项目提供整体设计、规范编制或者项目管理、监理、检测等服务的供应商，不得再参加该</w:t>
            </w:r>
            <w:r>
              <w:rPr>
                <w:rFonts w:hint="eastAsia"/>
                <w:lang w:val="en-US" w:eastAsia="zh-CN"/>
              </w:rPr>
              <w:t>市场咨询调研项目</w:t>
            </w:r>
            <w:r>
              <w:rPr>
                <w:rFonts w:hint="eastAsia"/>
                <w:lang w:val="zh-CN"/>
              </w:rPr>
              <w:t>。</w:t>
            </w:r>
          </w:p>
          <w:p w14:paraId="2A024033">
            <w:pPr>
              <w:pStyle w:val="20"/>
              <w:ind w:firstLine="0" w:firstLineChars="0"/>
              <w:rPr>
                <w:rFonts w:hint="default" w:eastAsia="宋体"/>
                <w:lang w:val="en-US" w:eastAsia="zh-CN"/>
              </w:rPr>
            </w:pPr>
          </w:p>
        </w:tc>
      </w:tr>
      <w:tr w14:paraId="374C2FB2">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14:paraId="77E322E2">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14:paraId="2AFB7A63">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eastAsia="zh-CN"/>
              </w:rPr>
              <w:t>市场咨询调研</w:t>
            </w:r>
          </w:p>
        </w:tc>
        <w:tc>
          <w:tcPr>
            <w:tcW w:w="6974" w:type="dxa"/>
            <w:tcBorders>
              <w:top w:val="single" w:color="auto" w:sz="4" w:space="0"/>
              <w:left w:val="single" w:color="auto" w:sz="4" w:space="0"/>
              <w:bottom w:val="single" w:color="auto" w:sz="4" w:space="0"/>
              <w:right w:val="single" w:color="auto" w:sz="4" w:space="0"/>
            </w:tcBorders>
            <w:vAlign w:val="center"/>
          </w:tcPr>
          <w:p w14:paraId="39429DD5">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14:paraId="212256B5">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14:paraId="154C69DB">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14:paraId="2A3C78BE">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14:paraId="37E58E63">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14:paraId="5A44D411">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14:paraId="5C4E7F98">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14:paraId="4323DA47">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14:paraId="27BFDA43">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14:paraId="15ED1AF4">
        <w:tblPrEx>
          <w:tblCellMar>
            <w:top w:w="0" w:type="dxa"/>
            <w:left w:w="108" w:type="dxa"/>
            <w:bottom w:w="0" w:type="dxa"/>
            <w:right w:w="108" w:type="dxa"/>
          </w:tblCellMar>
        </w:tblPrEx>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14:paraId="7CEBFFB1">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14:paraId="7FF9F48C">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14:paraId="7C6BD4F2">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14:paraId="6717ECE7">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14:paraId="7AF4B778">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14:paraId="3EC79F53">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14:paraId="5F490379">
            <w:pPr>
              <w:ind w:firstLine="210"/>
              <w:rPr>
                <w:rFonts w:ascii="宋体" w:hAnsi="宋体"/>
                <w:szCs w:val="21"/>
              </w:rPr>
            </w:pPr>
            <w:r>
              <w:rPr>
                <w:rFonts w:hint="eastAsia" w:ascii="宋体" w:hAnsi="宋体"/>
                <w:szCs w:val="21"/>
              </w:rPr>
              <w:t>允许</w:t>
            </w:r>
          </w:p>
        </w:tc>
      </w:tr>
      <w:tr w14:paraId="2CEB6731">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4EA8C67E">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14:paraId="062A3D0C">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市场咨询调研</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14:paraId="7DF20FAB">
            <w:pPr>
              <w:ind w:firstLine="210"/>
              <w:rPr>
                <w:rFonts w:ascii="宋体" w:hAnsi="宋体"/>
              </w:rPr>
            </w:pPr>
            <w:r>
              <w:rPr>
                <w:rFonts w:hint="eastAsia" w:ascii="宋体" w:hAnsi="宋体"/>
              </w:rPr>
              <w:t>其他材料：</w:t>
            </w:r>
          </w:p>
          <w:p w14:paraId="7A5A3E52">
            <w:pPr>
              <w:ind w:firstLine="210"/>
              <w:rPr>
                <w:rFonts w:hint="default" w:ascii="宋体" w:hAnsi="宋体" w:eastAsia="宋体"/>
                <w:szCs w:val="21"/>
                <w:lang w:val="en-US" w:eastAsia="zh-CN"/>
              </w:rPr>
            </w:pPr>
            <w:r>
              <w:rPr>
                <w:rFonts w:hint="eastAsia" w:ascii="宋体" w:hAnsi="宋体"/>
                <w:lang w:val="en-US" w:eastAsia="zh-CN"/>
              </w:rPr>
              <w:t>1、台州市立医院迁建二期工程平面图；2.台州市立医院迁建一期工程导向标识设计方案；3、台州市立医院迁建二期工程导向标识市场咨询调研一览表；</w:t>
            </w:r>
          </w:p>
        </w:tc>
      </w:tr>
      <w:tr w14:paraId="79FF695E">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14:paraId="07F803DB">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14:paraId="14C8D920">
            <w:pPr>
              <w:ind w:firstLine="210"/>
              <w:jc w:val="center"/>
              <w:rPr>
                <w:rFonts w:ascii="宋体" w:hAnsi="宋体"/>
                <w:szCs w:val="21"/>
              </w:rPr>
            </w:pPr>
            <w:r>
              <w:rPr>
                <w:rFonts w:hint="eastAsia" w:ascii="宋体" w:hAnsi="宋体"/>
                <w:szCs w:val="21"/>
                <w:lang w:val="en-US" w:eastAsia="zh-CN"/>
              </w:rPr>
              <w:t>市场咨询调研报名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14:paraId="41D549C8">
            <w:pPr>
              <w:ind w:firstLine="211"/>
              <w:rPr>
                <w:rFonts w:ascii="宋体" w:hAnsi="宋体"/>
                <w:szCs w:val="21"/>
              </w:rPr>
            </w:pPr>
            <w:r>
              <w:rPr>
                <w:rFonts w:hint="eastAsia" w:ascii="宋体" w:hAnsi="宋体"/>
                <w:b/>
                <w:u w:val="single"/>
              </w:rPr>
              <w:t>202</w:t>
            </w:r>
            <w:r>
              <w:rPr>
                <w:rFonts w:hint="eastAsia" w:ascii="宋体" w:hAnsi="宋体"/>
                <w:b/>
                <w:u w:val="single"/>
                <w:lang w:val="en-US" w:eastAsia="zh-CN"/>
              </w:rPr>
              <w:t>5</w:t>
            </w:r>
            <w:r>
              <w:rPr>
                <w:rFonts w:hint="eastAsia" w:ascii="宋体" w:hAnsi="宋体"/>
                <w:b/>
                <w:u w:val="single"/>
              </w:rPr>
              <w:t xml:space="preserve"> 年</w:t>
            </w:r>
            <w:r>
              <w:rPr>
                <w:rFonts w:hint="eastAsia" w:ascii="宋体" w:hAnsi="宋体"/>
                <w:b/>
                <w:u w:val="single"/>
                <w:lang w:val="en-US" w:eastAsia="zh-CN"/>
              </w:rPr>
              <w:t xml:space="preserve"> 8 </w:t>
            </w:r>
            <w:r>
              <w:rPr>
                <w:rFonts w:hint="eastAsia" w:ascii="宋体" w:hAnsi="宋体"/>
                <w:b/>
                <w:u w:val="single"/>
              </w:rPr>
              <w:t>月</w:t>
            </w:r>
            <w:r>
              <w:rPr>
                <w:rFonts w:hint="eastAsia" w:ascii="宋体" w:hAnsi="宋体"/>
                <w:b/>
                <w:u w:val="single"/>
                <w:lang w:val="en-US" w:eastAsia="zh-CN"/>
              </w:rPr>
              <w:t>31</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14:paraId="7382AD86">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0E35364A">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14:paraId="75C4F374">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14:paraId="6C8F0DBF">
            <w:pPr>
              <w:spacing w:line="360" w:lineRule="auto"/>
              <w:ind w:firstLine="0" w:firstLineChars="0"/>
              <w:rPr>
                <w:rFonts w:ascii="宋体" w:hAnsi="宋体"/>
                <w:b/>
                <w:szCs w:val="21"/>
              </w:rPr>
            </w:pPr>
            <w:r>
              <w:rPr>
                <w:rFonts w:hint="eastAsia" w:ascii="宋体" w:hAnsi="宋体"/>
                <w:b/>
                <w:szCs w:val="21"/>
              </w:rPr>
              <w:t>（一）、</w:t>
            </w:r>
            <w:r>
              <w:rPr>
                <w:rFonts w:hint="eastAsia" w:ascii="宋体" w:hAnsi="宋体"/>
                <w:b/>
                <w:szCs w:val="21"/>
                <w:lang w:eastAsia="zh-CN"/>
              </w:rPr>
              <w:t>市场咨询调研</w:t>
            </w:r>
            <w:r>
              <w:rPr>
                <w:rFonts w:hint="eastAsia" w:ascii="宋体" w:hAnsi="宋体"/>
                <w:b/>
                <w:szCs w:val="21"/>
              </w:rPr>
              <w:t>文件包括以下内容：</w:t>
            </w:r>
          </w:p>
          <w:p w14:paraId="6FC87ACB">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市场咨询调研</w:t>
            </w:r>
            <w:r>
              <w:rPr>
                <w:rFonts w:hint="eastAsia" w:ascii="宋体" w:hAnsi="宋体" w:cs="Arial"/>
                <w:szCs w:val="21"/>
              </w:rPr>
              <w:t>函（格式一）；</w:t>
            </w:r>
          </w:p>
          <w:p w14:paraId="68CFC6A4">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市场咨询调研</w:t>
            </w:r>
            <w:r>
              <w:rPr>
                <w:rFonts w:hint="eastAsia" w:ascii="宋体" w:hAnsi="宋体" w:cs="Arial"/>
                <w:szCs w:val="21"/>
              </w:rPr>
              <w:t>报价表（格式二）；</w:t>
            </w:r>
          </w:p>
          <w:p w14:paraId="53181C72">
            <w:pPr>
              <w:pStyle w:val="2"/>
              <w:ind w:left="0" w:leftChars="0" w:firstLine="0" w:firstLineChars="0"/>
              <w:rPr>
                <w:rFonts w:ascii="宋体" w:hAnsi="宋体"/>
                <w:b/>
              </w:rPr>
            </w:pPr>
            <w:r>
              <w:rPr>
                <w:rFonts w:hint="eastAsia" w:hAnsi="宋体" w:cs="Arial"/>
                <w:szCs w:val="21"/>
                <w:lang w:val="en-US" w:eastAsia="zh-CN"/>
              </w:rPr>
              <w:t xml:space="preserve"> </w:t>
            </w:r>
            <w:r>
              <w:rPr>
                <w:rFonts w:hint="eastAsia" w:ascii="宋体" w:hAnsi="宋体"/>
                <w:b/>
              </w:rPr>
              <w:t>（二）、技术资信标包括（证书等资料须提供原件扫描件且加盖</w:t>
            </w:r>
            <w:r>
              <w:rPr>
                <w:rFonts w:hint="eastAsia" w:ascii="宋体" w:hAnsi="宋体"/>
                <w:b/>
                <w:lang w:eastAsia="zh-CN"/>
              </w:rPr>
              <w:t>市场咨询调研</w:t>
            </w:r>
            <w:r>
              <w:rPr>
                <w:rFonts w:hint="eastAsia" w:ascii="宋体" w:hAnsi="宋体"/>
                <w:b/>
              </w:rPr>
              <w:t>人公章）</w:t>
            </w:r>
          </w:p>
          <w:p w14:paraId="0B551663">
            <w:pPr>
              <w:pStyle w:val="8"/>
              <w:adjustRightInd w:val="0"/>
              <w:spacing w:line="360" w:lineRule="auto"/>
              <w:ind w:firstLine="210" w:firstLineChars="100"/>
              <w:rPr>
                <w:rFonts w:hint="default" w:ascii="宋体" w:hAnsi="宋体" w:eastAsiaTheme="minorEastAsia"/>
                <w:lang w:val="en-US" w:eastAsia="zh-CN"/>
              </w:rPr>
            </w:pPr>
            <w:r>
              <w:rPr>
                <w:rFonts w:hint="eastAsia" w:ascii="宋体" w:hAnsi="宋体"/>
              </w:rPr>
              <w:t>（1）</w:t>
            </w:r>
            <w:r>
              <w:rPr>
                <w:rFonts w:hint="eastAsia" w:ascii="宋体" w:hAnsi="宋体"/>
                <w:lang w:val="en-US" w:eastAsia="zh-CN"/>
              </w:rPr>
              <w:t>技术响应表（格式三）</w:t>
            </w:r>
          </w:p>
          <w:p w14:paraId="721E0107">
            <w:pPr>
              <w:pStyle w:val="8"/>
              <w:adjustRightInd w:val="0"/>
              <w:spacing w:line="360" w:lineRule="auto"/>
              <w:ind w:firstLine="210" w:firstLineChars="100"/>
              <w:rPr>
                <w:rFonts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法定代表人授权委托书（格式</w:t>
            </w:r>
            <w:r>
              <w:rPr>
                <w:rFonts w:hint="eastAsia" w:ascii="宋体" w:hAnsi="宋体"/>
                <w:lang w:val="en-US" w:eastAsia="zh-CN"/>
              </w:rPr>
              <w:t>四</w:t>
            </w:r>
            <w:r>
              <w:rPr>
                <w:rFonts w:hint="eastAsia" w:ascii="宋体" w:hAnsi="宋体"/>
              </w:rPr>
              <w:t>）；</w:t>
            </w:r>
          </w:p>
          <w:p w14:paraId="38039FBB">
            <w:pPr>
              <w:spacing w:line="288" w:lineRule="auto"/>
              <w:ind w:firstLine="21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）法定代表人身份证明（格式</w:t>
            </w:r>
            <w:r>
              <w:rPr>
                <w:rFonts w:hint="eastAsia" w:ascii="宋体" w:hAnsi="宋体"/>
                <w:lang w:val="en-US" w:eastAsia="zh-CN"/>
              </w:rPr>
              <w:t>五</w:t>
            </w:r>
            <w:r>
              <w:rPr>
                <w:rFonts w:hint="eastAsia" w:ascii="宋体" w:hAnsi="宋体"/>
              </w:rPr>
              <w:t>）；</w:t>
            </w:r>
          </w:p>
          <w:p w14:paraId="27663210">
            <w:pPr>
              <w:spacing w:line="288" w:lineRule="auto"/>
              <w:ind w:firstLine="210"/>
              <w:rPr>
                <w:rFonts w:ascii="宋体" w:hAnsi="宋体" w:cs="Arial"/>
                <w:szCs w:val="21"/>
              </w:rPr>
            </w:pPr>
            <w:r>
              <w:rPr>
                <w:rFonts w:hint="eastAsia" w:ascii="宋体" w:hAnsi="宋体" w:cs="Arial"/>
                <w:szCs w:val="21"/>
              </w:rPr>
              <w:t>（</w:t>
            </w:r>
            <w:r>
              <w:rPr>
                <w:rFonts w:hint="eastAsia" w:ascii="宋体" w:hAnsi="宋体" w:cs="Arial"/>
                <w:szCs w:val="21"/>
                <w:lang w:val="en-US" w:eastAsia="zh-CN"/>
              </w:rPr>
              <w:t>4</w:t>
            </w:r>
            <w:r>
              <w:rPr>
                <w:rFonts w:hint="eastAsia" w:ascii="宋体" w:hAnsi="宋体" w:cs="Arial"/>
                <w:szCs w:val="21"/>
              </w:rPr>
              <w:t>）营业执照；</w:t>
            </w:r>
          </w:p>
          <w:p w14:paraId="1F42DB2B">
            <w:pPr>
              <w:spacing w:line="288" w:lineRule="auto"/>
              <w:ind w:firstLine="203" w:firstLineChars="97"/>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）业绩证明资料；</w:t>
            </w:r>
          </w:p>
          <w:p w14:paraId="05E1234F">
            <w:pPr>
              <w:spacing w:line="288" w:lineRule="auto"/>
              <w:ind w:firstLine="210" w:firstLineChars="100"/>
              <w:rPr>
                <w:rFonts w:ascii="宋体" w:hAnsi="宋体"/>
                <w:b/>
                <w:szCs w:val="21"/>
              </w:rPr>
            </w:pPr>
            <w:r>
              <w:rPr>
                <w:rFonts w:hint="eastAsia" w:ascii="宋体" w:hAnsi="宋体" w:cs="Arial"/>
                <w:szCs w:val="21"/>
                <w:lang w:val="en-US" w:eastAsia="zh-CN"/>
              </w:rPr>
              <w:t>（6</w:t>
            </w:r>
            <w:r>
              <w:rPr>
                <w:rFonts w:hint="eastAsia" w:ascii="宋体" w:hAnsi="宋体" w:cs="Arial"/>
                <w:szCs w:val="21"/>
              </w:rPr>
              <w:t>）</w:t>
            </w:r>
            <w:r>
              <w:rPr>
                <w:rFonts w:hint="eastAsia" w:ascii="宋体" w:hAnsi="宋体" w:cs="Arial"/>
                <w:szCs w:val="21"/>
                <w:lang w:eastAsia="zh-CN"/>
              </w:rPr>
              <w:t>市场咨询调研</w:t>
            </w:r>
            <w:r>
              <w:rPr>
                <w:rFonts w:hint="eastAsia" w:ascii="宋体" w:hAnsi="宋体" w:cs="Arial"/>
                <w:szCs w:val="21"/>
              </w:rPr>
              <w:t>文件需要提供和</w:t>
            </w:r>
            <w:r>
              <w:rPr>
                <w:rFonts w:hint="eastAsia" w:ascii="宋体" w:hAnsi="宋体" w:cs="Arial"/>
                <w:szCs w:val="21"/>
                <w:lang w:eastAsia="zh-CN"/>
              </w:rPr>
              <w:t>市场咨询调研</w:t>
            </w:r>
            <w:r>
              <w:rPr>
                <w:rFonts w:hint="eastAsia" w:ascii="宋体" w:hAnsi="宋体" w:cs="Arial"/>
                <w:szCs w:val="21"/>
              </w:rPr>
              <w:t>人认为需要提供的其他材料。</w:t>
            </w:r>
          </w:p>
        </w:tc>
      </w:tr>
      <w:tr w14:paraId="3E071E88">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39845B12">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14:paraId="3124CE6E">
            <w:pPr>
              <w:ind w:firstLine="210"/>
              <w:jc w:val="center"/>
              <w:rPr>
                <w:rFonts w:ascii="宋体" w:hAnsi="宋体"/>
                <w:szCs w:val="21"/>
              </w:rPr>
            </w:pPr>
            <w:r>
              <w:rPr>
                <w:rFonts w:hint="eastAsia" w:ascii="宋体" w:hAnsi="宋体"/>
                <w:lang w:eastAsia="zh-CN"/>
              </w:rPr>
              <w:t>市场咨询调研</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14:paraId="427C0C75">
            <w:pPr>
              <w:ind w:firstLine="1054" w:firstLineChars="500"/>
              <w:rPr>
                <w:rFonts w:ascii="宋体" w:hAnsi="宋体"/>
              </w:rPr>
            </w:pPr>
            <w:r>
              <w:rPr>
                <w:rFonts w:hint="eastAsia" w:ascii="宋体" w:hAnsi="宋体"/>
                <w:b/>
                <w:bCs/>
                <w:szCs w:val="21"/>
                <w:lang w:val="en-US" w:eastAsia="zh-CN"/>
              </w:rPr>
              <w:t>/</w:t>
            </w:r>
          </w:p>
        </w:tc>
      </w:tr>
      <w:tr w14:paraId="78323D78">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14:paraId="44320EBA">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14:paraId="7E0C3926">
            <w:pPr>
              <w:ind w:firstLine="210"/>
              <w:jc w:val="center"/>
              <w:rPr>
                <w:rFonts w:ascii="宋体" w:hAnsi="宋体"/>
              </w:rPr>
            </w:pPr>
            <w:r>
              <w:rPr>
                <w:rFonts w:hint="eastAsia" w:ascii="宋体" w:hAnsi="宋体"/>
                <w:lang w:eastAsia="zh-CN"/>
              </w:rPr>
              <w:t>市场咨询调研</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14:paraId="393E33FF">
            <w:pPr>
              <w:pStyle w:val="2"/>
              <w:ind w:left="0" w:leftChars="0" w:firstLine="0" w:firstLineChars="0"/>
            </w:pPr>
            <w:r>
              <w:rPr>
                <w:rFonts w:hint="eastAsia"/>
              </w:rPr>
              <w:t>(1) 本次</w:t>
            </w:r>
            <w:r>
              <w:rPr>
                <w:rFonts w:hint="eastAsia"/>
                <w:lang w:eastAsia="zh-CN"/>
              </w:rPr>
              <w:t>市场咨询调研</w:t>
            </w:r>
            <w:r>
              <w:rPr>
                <w:rFonts w:hint="eastAsia"/>
              </w:rPr>
              <w:t>的</w:t>
            </w:r>
            <w:r>
              <w:rPr>
                <w:rFonts w:hint="eastAsia"/>
                <w:lang w:val="en-US" w:eastAsia="zh-CN"/>
              </w:rPr>
              <w:t>台州市立医院迁建工程二期标识标牌（</w:t>
            </w:r>
            <w:r>
              <w:rPr>
                <w:rFonts w:hint="eastAsia" w:hAnsi="宋体" w:cs="宋体"/>
                <w:kern w:val="0"/>
                <w:szCs w:val="21"/>
                <w:lang w:val="en-US" w:eastAsia="zh-CN"/>
              </w:rPr>
              <w:t>包括一期原标识优化和内容更换方案）拟</w:t>
            </w:r>
            <w:r>
              <w:rPr>
                <w:rFonts w:hint="eastAsia"/>
              </w:rPr>
              <w:t>为交钥匙</w:t>
            </w:r>
            <w:r>
              <w:rPr>
                <w:rFonts w:hint="eastAsia"/>
                <w:lang w:eastAsia="zh-CN"/>
              </w:rPr>
              <w:t>项目</w:t>
            </w:r>
            <w:r>
              <w:rPr>
                <w:rFonts w:hint="eastAsia"/>
              </w:rPr>
              <w:t>，内容包含但不仅限深化设计、制造、供货、运输装卸、安装、调试、验收，培训及售后服务、保险、利润、税金、规费、政策性文件规定及合同包含的所有风险及责任等各项费用，以及向</w:t>
            </w:r>
            <w:r>
              <w:rPr>
                <w:rFonts w:hint="eastAsia"/>
                <w:lang w:eastAsia="zh-CN"/>
              </w:rPr>
              <w:t>市场咨询调研</w:t>
            </w:r>
            <w:r>
              <w:rPr>
                <w:rFonts w:hint="eastAsia"/>
              </w:rPr>
              <w:t>人提供全过程形成的图纸、记录、档案资料和其他相关服务等。</w:t>
            </w:r>
          </w:p>
          <w:p w14:paraId="17491B7E">
            <w:pPr>
              <w:pStyle w:val="2"/>
              <w:ind w:left="0" w:leftChars="0" w:firstLine="0" w:firstLineChars="0"/>
            </w:pPr>
            <w:r>
              <w:rPr>
                <w:rFonts w:hint="eastAsia"/>
              </w:rPr>
              <w:t>（2）</w:t>
            </w:r>
            <w:r>
              <w:rPr>
                <w:rFonts w:hint="eastAsia"/>
                <w:lang w:eastAsia="zh-CN"/>
              </w:rPr>
              <w:t>市场咨询调研</w:t>
            </w:r>
            <w:r>
              <w:rPr>
                <w:rFonts w:hint="eastAsia"/>
              </w:rPr>
              <w:t>人依据市场行情和自身情况自由竞价。</w:t>
            </w:r>
            <w:r>
              <w:rPr>
                <w:rFonts w:hint="eastAsia"/>
                <w:lang w:eastAsia="zh-CN"/>
              </w:rPr>
              <w:t>项目</w:t>
            </w:r>
            <w:r>
              <w:rPr>
                <w:rFonts w:hint="eastAsia"/>
              </w:rPr>
              <w:t>所用设备及材料以</w:t>
            </w:r>
            <w:r>
              <w:rPr>
                <w:rFonts w:hint="eastAsia"/>
                <w:lang w:eastAsia="zh-CN"/>
              </w:rPr>
              <w:t>市场咨询调研</w:t>
            </w:r>
            <w:r>
              <w:rPr>
                <w:rFonts w:hint="eastAsia"/>
              </w:rPr>
              <w:t>人自行市场调查确定的价格计入</w:t>
            </w:r>
            <w:r>
              <w:rPr>
                <w:rFonts w:hint="eastAsia"/>
                <w:lang w:eastAsia="zh-CN"/>
              </w:rPr>
              <w:t>市场咨询调研</w:t>
            </w:r>
            <w:r>
              <w:rPr>
                <w:rFonts w:hint="eastAsia"/>
              </w:rPr>
              <w:t>报价。</w:t>
            </w:r>
          </w:p>
          <w:p w14:paraId="6EC7F69F">
            <w:pPr>
              <w:pStyle w:val="2"/>
              <w:ind w:left="0" w:leftChars="0" w:firstLine="0" w:firstLineChars="0"/>
              <w:rPr>
                <w:rFonts w:hint="eastAsia"/>
              </w:rPr>
            </w:pPr>
            <w:r>
              <w:rPr>
                <w:rFonts w:hint="eastAsia"/>
              </w:rPr>
              <w:t>（3）</w:t>
            </w:r>
            <w:r>
              <w:rPr>
                <w:rFonts w:hint="eastAsia"/>
                <w:lang w:eastAsia="zh-CN"/>
              </w:rPr>
              <w:t>市场咨询调研</w:t>
            </w:r>
            <w:r>
              <w:rPr>
                <w:rFonts w:hint="eastAsia"/>
              </w:rPr>
              <w:t>人在</w:t>
            </w:r>
            <w:r>
              <w:rPr>
                <w:rFonts w:hint="eastAsia"/>
                <w:lang w:eastAsia="zh-CN"/>
              </w:rPr>
              <w:t>市场咨询调研</w:t>
            </w:r>
            <w:r>
              <w:rPr>
                <w:rFonts w:hint="eastAsia"/>
              </w:rPr>
              <w:t>报价表中填报的综合单价应是货物运至指定位置所有费用的综合单价，以及合同明示或暗示的所有责任、义务和风险。</w:t>
            </w:r>
          </w:p>
          <w:p w14:paraId="72A30B85">
            <w:pPr>
              <w:pStyle w:val="2"/>
              <w:ind w:left="0" w:leftChars="0" w:firstLine="0" w:firstLineChars="0"/>
            </w:pPr>
            <w:r>
              <w:rPr>
                <w:rFonts w:hint="eastAsia"/>
              </w:rPr>
              <w:t>（4）如果</w:t>
            </w:r>
            <w:r>
              <w:rPr>
                <w:rFonts w:hint="eastAsia"/>
                <w:lang w:eastAsia="zh-CN"/>
              </w:rPr>
              <w:t>市场咨询调研</w:t>
            </w:r>
            <w:r>
              <w:rPr>
                <w:rFonts w:hint="eastAsia"/>
              </w:rPr>
              <w:t>人认为为圆满完成本项目还有其他需要计费的配合工作，均被认为已经包含在综合单价中。 </w:t>
            </w:r>
          </w:p>
          <w:p w14:paraId="08BD5E83">
            <w:pPr>
              <w:pStyle w:val="2"/>
              <w:ind w:left="0" w:leftChars="0" w:firstLine="0" w:firstLineChars="0"/>
            </w:pPr>
            <w:r>
              <w:rPr>
                <w:rFonts w:hint="eastAsia"/>
              </w:rPr>
              <w:t>（5）</w:t>
            </w:r>
            <w:r>
              <w:rPr>
                <w:rFonts w:hint="eastAsia"/>
                <w:lang w:eastAsia="zh-CN"/>
              </w:rPr>
              <w:t>市场咨询调研</w:t>
            </w:r>
            <w:r>
              <w:rPr>
                <w:rFonts w:hint="eastAsia"/>
              </w:rPr>
              <w:t>人应负责办理为执行本</w:t>
            </w:r>
            <w:r>
              <w:rPr>
                <w:rFonts w:hint="eastAsia"/>
                <w:lang w:eastAsia="zh-CN"/>
              </w:rPr>
              <w:t>市场咨询调研</w:t>
            </w:r>
            <w:r>
              <w:rPr>
                <w:rFonts w:hint="eastAsia"/>
              </w:rPr>
              <w:t>文件规定义务而投入的工伤事故的保险、机具设备和运输工具的财产保险、人身意外伤害险、材料运输险，保险费由</w:t>
            </w:r>
            <w:r>
              <w:rPr>
                <w:rFonts w:hint="eastAsia"/>
                <w:lang w:eastAsia="zh-CN"/>
              </w:rPr>
              <w:t>市场咨询调研</w:t>
            </w:r>
            <w:r>
              <w:rPr>
                <w:rFonts w:hint="eastAsia"/>
              </w:rPr>
              <w:t>人自行支付， 并已包含在</w:t>
            </w:r>
            <w:r>
              <w:rPr>
                <w:rFonts w:hint="eastAsia"/>
                <w:lang w:eastAsia="zh-CN"/>
              </w:rPr>
              <w:t>市场咨询调研</w:t>
            </w:r>
            <w:r>
              <w:rPr>
                <w:rFonts w:hint="eastAsia"/>
              </w:rPr>
              <w:t>报价中，</w:t>
            </w:r>
            <w:r>
              <w:rPr>
                <w:rFonts w:hint="eastAsia"/>
                <w:lang w:eastAsia="zh-CN"/>
              </w:rPr>
              <w:t>市场咨询调研</w:t>
            </w:r>
            <w:r>
              <w:rPr>
                <w:rFonts w:hint="eastAsia"/>
              </w:rPr>
              <w:t>人将不再另行支付。 </w:t>
            </w:r>
          </w:p>
          <w:p w14:paraId="05D4465C">
            <w:pPr>
              <w:pStyle w:val="2"/>
              <w:ind w:left="0" w:leftChars="0" w:firstLine="0" w:firstLineChars="0"/>
            </w:pPr>
            <w:r>
              <w:rPr>
                <w:rFonts w:hint="eastAsia"/>
              </w:rPr>
              <w:t>（6）</w:t>
            </w:r>
            <w:r>
              <w:rPr>
                <w:rFonts w:hint="eastAsia"/>
                <w:lang w:eastAsia="zh-CN"/>
              </w:rPr>
              <w:t>市场咨询调研</w:t>
            </w:r>
            <w:r>
              <w:rPr>
                <w:rFonts w:hint="eastAsia"/>
              </w:rPr>
              <w:t>人不接受任何形式的调价函。 </w:t>
            </w:r>
          </w:p>
          <w:p w14:paraId="2BFE6359">
            <w:pPr>
              <w:pStyle w:val="2"/>
              <w:ind w:left="0" w:leftChars="0" w:firstLine="0" w:firstLineChars="0"/>
            </w:pPr>
            <w:r>
              <w:rPr>
                <w:rFonts w:hint="eastAsia"/>
              </w:rPr>
              <w:t>（7）根据国家和浙江省的有关规定，凡要求</w:t>
            </w:r>
            <w:r>
              <w:rPr>
                <w:rFonts w:hint="eastAsia"/>
                <w:lang w:eastAsia="zh-CN"/>
              </w:rPr>
              <w:t>市场咨询调研</w:t>
            </w:r>
            <w:r>
              <w:rPr>
                <w:rFonts w:hint="eastAsia"/>
              </w:rPr>
              <w:t>人办理的一切手续（包括</w:t>
            </w:r>
            <w:r>
              <w:rPr>
                <w:rFonts w:hint="eastAsia"/>
                <w:lang w:eastAsia="zh-CN"/>
              </w:rPr>
              <w:t>市场咨询调研</w:t>
            </w:r>
            <w:r>
              <w:rPr>
                <w:rFonts w:hint="eastAsia"/>
              </w:rPr>
              <w:t>和中标后供应材料的各种手续） 均由</w:t>
            </w:r>
            <w:r>
              <w:rPr>
                <w:rFonts w:hint="eastAsia"/>
                <w:lang w:eastAsia="zh-CN"/>
              </w:rPr>
              <w:t>市场咨询调研</w:t>
            </w:r>
            <w:r>
              <w:rPr>
                <w:rFonts w:hint="eastAsia"/>
              </w:rPr>
              <w:t>人自行调查办理，该费用包含在综合单价中。 </w:t>
            </w:r>
          </w:p>
          <w:p w14:paraId="7EADF4B4">
            <w:pPr>
              <w:pStyle w:val="2"/>
              <w:ind w:left="0" w:leftChars="0" w:firstLine="0" w:firstLineChars="0"/>
            </w:pPr>
            <w:r>
              <w:rPr>
                <w:rFonts w:hint="eastAsia"/>
              </w:rPr>
              <w:t>（8）本</w:t>
            </w:r>
            <w:r>
              <w:rPr>
                <w:rFonts w:hint="eastAsia"/>
                <w:lang w:eastAsia="zh-CN"/>
              </w:rPr>
              <w:t>项目</w:t>
            </w:r>
            <w:r>
              <w:rPr>
                <w:rFonts w:hint="eastAsia"/>
              </w:rPr>
              <w:t>中所用的部分材料如</w:t>
            </w:r>
            <w:r>
              <w:rPr>
                <w:rFonts w:hint="eastAsia"/>
                <w:lang w:eastAsia="zh-CN"/>
              </w:rPr>
              <w:t>市场咨询调研</w:t>
            </w:r>
            <w:r>
              <w:rPr>
                <w:rFonts w:hint="eastAsia"/>
              </w:rPr>
              <w:t>人推荐品牌和厂家的，</w:t>
            </w:r>
            <w:r>
              <w:rPr>
                <w:rFonts w:hint="eastAsia"/>
                <w:lang w:eastAsia="zh-CN"/>
              </w:rPr>
              <w:t>市场咨询调研</w:t>
            </w:r>
            <w:r>
              <w:rPr>
                <w:rFonts w:hint="eastAsia"/>
              </w:rPr>
              <w:t>人应在</w:t>
            </w:r>
            <w:r>
              <w:rPr>
                <w:rFonts w:hint="eastAsia"/>
                <w:lang w:eastAsia="zh-CN"/>
              </w:rPr>
              <w:t>市场咨询调研</w:t>
            </w:r>
            <w:r>
              <w:rPr>
                <w:rFonts w:hint="eastAsia"/>
              </w:rPr>
              <w:t>人推荐的品牌和厂家中（或同档次及以上产品）选择，</w:t>
            </w:r>
            <w:r>
              <w:rPr>
                <w:rFonts w:hint="eastAsia"/>
                <w:lang w:eastAsia="zh-CN"/>
              </w:rPr>
              <w:t>市场咨询调研</w:t>
            </w:r>
            <w:r>
              <w:rPr>
                <w:rFonts w:hint="eastAsia"/>
              </w:rPr>
              <w:t>文件中应明确所选品牌，规格型号。如</w:t>
            </w:r>
            <w:r>
              <w:rPr>
                <w:rFonts w:hint="eastAsia"/>
                <w:lang w:eastAsia="zh-CN"/>
              </w:rPr>
              <w:t>市场咨询调研</w:t>
            </w:r>
            <w:r>
              <w:rPr>
                <w:rFonts w:hint="eastAsia"/>
              </w:rPr>
              <w:t>文件中未注明品牌或规格型号，则由</w:t>
            </w:r>
            <w:r>
              <w:rPr>
                <w:rFonts w:hint="eastAsia"/>
                <w:lang w:eastAsia="zh-CN"/>
              </w:rPr>
              <w:t>市场咨询调研</w:t>
            </w:r>
            <w:r>
              <w:rPr>
                <w:rFonts w:hint="eastAsia"/>
              </w:rPr>
              <w:t>人在推荐品牌范围内选定，价格不作调整。如</w:t>
            </w:r>
            <w:r>
              <w:rPr>
                <w:rFonts w:hint="eastAsia"/>
                <w:lang w:eastAsia="zh-CN"/>
              </w:rPr>
              <w:t>市场咨询调研</w:t>
            </w:r>
            <w:r>
              <w:rPr>
                <w:rFonts w:hint="eastAsia"/>
              </w:rPr>
              <w:t>人列明的系列无相关产品，则由</w:t>
            </w:r>
            <w:r>
              <w:rPr>
                <w:rFonts w:hint="eastAsia"/>
                <w:lang w:eastAsia="zh-CN"/>
              </w:rPr>
              <w:t>市场咨询调研</w:t>
            </w:r>
            <w:r>
              <w:rPr>
                <w:rFonts w:hint="eastAsia"/>
              </w:rPr>
              <w:t>人根据市场情况在相应品牌或推荐品牌中选择相关产品的系列，</w:t>
            </w:r>
            <w:r>
              <w:rPr>
                <w:rFonts w:hint="eastAsia"/>
                <w:lang w:eastAsia="zh-CN"/>
              </w:rPr>
              <w:t>市场咨询调研</w:t>
            </w:r>
            <w:r>
              <w:rPr>
                <w:rFonts w:hint="eastAsia"/>
              </w:rPr>
              <w:t>人必须服从</w:t>
            </w:r>
            <w:r>
              <w:rPr>
                <w:rFonts w:hint="eastAsia"/>
                <w:lang w:eastAsia="zh-CN"/>
              </w:rPr>
              <w:t>市场咨询调研</w:t>
            </w:r>
            <w:r>
              <w:rPr>
                <w:rFonts w:hint="eastAsia"/>
              </w:rPr>
              <w:t>人的统一安排。</w:t>
            </w:r>
          </w:p>
          <w:p w14:paraId="0FF03895">
            <w:pPr>
              <w:pStyle w:val="2"/>
              <w:ind w:left="0" w:leftChars="0" w:firstLine="0" w:firstLineChars="0"/>
              <w:rPr>
                <w:rFonts w:hint="eastAsia"/>
              </w:rPr>
            </w:pPr>
            <w:r>
              <w:rPr>
                <w:rFonts w:hint="eastAsia"/>
              </w:rPr>
              <w:t>（</w:t>
            </w:r>
            <w:r>
              <w:rPr>
                <w:rFonts w:hint="eastAsia"/>
                <w:lang w:val="en-US" w:eastAsia="zh-CN"/>
              </w:rPr>
              <w:t>9</w:t>
            </w:r>
            <w:r>
              <w:rPr>
                <w:rFonts w:hint="eastAsia"/>
              </w:rPr>
              <w:t>）在质量保证期内因设备本身的质量问题发生故障，</w:t>
            </w:r>
            <w:r>
              <w:rPr>
                <w:rFonts w:hint="eastAsia"/>
                <w:lang w:eastAsia="zh-CN"/>
              </w:rPr>
              <w:t>市场咨询调研</w:t>
            </w:r>
            <w:r>
              <w:rPr>
                <w:rFonts w:hint="eastAsia"/>
              </w:rPr>
              <w:t>人应负责免费修理和更换零部件。</w:t>
            </w:r>
          </w:p>
          <w:p w14:paraId="69CE4E7F">
            <w:pPr>
              <w:pStyle w:val="2"/>
              <w:ind w:left="0" w:leftChars="0" w:firstLine="0" w:firstLineChars="0"/>
            </w:pPr>
            <w:r>
              <w:rPr>
                <w:rFonts w:hint="eastAsia"/>
              </w:rPr>
              <w:t>二、其他</w:t>
            </w:r>
          </w:p>
          <w:p w14:paraId="73EC8A0E">
            <w:pPr>
              <w:pStyle w:val="2"/>
              <w:ind w:left="0" w:leftChars="0" w:firstLine="0" w:firstLineChars="0"/>
            </w:pPr>
            <w:r>
              <w:rPr>
                <w:rFonts w:hint="eastAsia"/>
              </w:rPr>
              <w:t>1、</w:t>
            </w:r>
            <w:r>
              <w:rPr>
                <w:rFonts w:hint="eastAsia"/>
                <w:lang w:eastAsia="zh-CN"/>
              </w:rPr>
              <w:t>市场咨询调研</w:t>
            </w:r>
            <w:r>
              <w:rPr>
                <w:rFonts w:hint="eastAsia"/>
              </w:rPr>
              <w:t>人可以自己组织去</w:t>
            </w:r>
            <w:r>
              <w:rPr>
                <w:rFonts w:hint="eastAsia"/>
                <w:lang w:val="en-US" w:eastAsia="zh-CN"/>
              </w:rPr>
              <w:t>一期和二期</w:t>
            </w:r>
            <w:r>
              <w:rPr>
                <w:rFonts w:hint="eastAsia"/>
              </w:rPr>
              <w:t>工地踏勘以便于充分了解</w:t>
            </w:r>
            <w:r>
              <w:rPr>
                <w:rFonts w:hint="eastAsia"/>
                <w:lang w:val="en-US" w:eastAsia="zh-CN"/>
              </w:rPr>
              <w:t>一期已完工的导向标识与设计方案及二期工程</w:t>
            </w:r>
            <w:r>
              <w:rPr>
                <w:rFonts w:hint="eastAsia"/>
              </w:rPr>
              <w:t>工地位置、情况、道路、储存空间、装卸限制及任何其他足以影响承包价的情况，对技术难度和安全性引起特别重视，所发生的费用如：平整场地、垃圾外运等全部包括在</w:t>
            </w:r>
            <w:r>
              <w:rPr>
                <w:rFonts w:hint="eastAsia"/>
                <w:lang w:eastAsia="zh-CN"/>
              </w:rPr>
              <w:t>市场咨询调研</w:t>
            </w:r>
            <w:r>
              <w:rPr>
                <w:rFonts w:hint="eastAsia"/>
              </w:rPr>
              <w:t>报价中，任何因忽视或误解工地情况而导致的索赔或工期延长申请将不被批准。</w:t>
            </w:r>
          </w:p>
          <w:p w14:paraId="695DA0AD">
            <w:pPr>
              <w:pStyle w:val="2"/>
              <w:ind w:left="0" w:leftChars="0" w:firstLine="0" w:firstLineChars="0"/>
              <w:rPr>
                <w:rFonts w:hint="eastAsia"/>
              </w:rPr>
            </w:pPr>
            <w:r>
              <w:rPr>
                <w:rFonts w:hint="eastAsia"/>
              </w:rPr>
              <w:t>2、</w:t>
            </w:r>
            <w:r>
              <w:rPr>
                <w:rFonts w:hint="eastAsia"/>
                <w:lang w:eastAsia="zh-CN"/>
              </w:rPr>
              <w:t>项目</w:t>
            </w:r>
            <w:r>
              <w:rPr>
                <w:rFonts w:hint="eastAsia"/>
              </w:rPr>
              <w:t>实施中不论何种原因发生调整，按</w:t>
            </w:r>
            <w:r>
              <w:rPr>
                <w:rFonts w:hint="eastAsia"/>
                <w:lang w:eastAsia="zh-CN"/>
              </w:rPr>
              <w:t>市场咨询调研</w:t>
            </w:r>
            <w:r>
              <w:rPr>
                <w:rFonts w:hint="eastAsia"/>
              </w:rPr>
              <w:t>时</w:t>
            </w:r>
            <w:r>
              <w:rPr>
                <w:rFonts w:hint="eastAsia"/>
                <w:lang w:eastAsia="zh-CN"/>
              </w:rPr>
              <w:t>市场咨询调研</w:t>
            </w:r>
            <w:r>
              <w:rPr>
                <w:rFonts w:hint="eastAsia"/>
              </w:rPr>
              <w:t>报价同口径计算。</w:t>
            </w:r>
          </w:p>
          <w:p w14:paraId="18CADCF2">
            <w:pPr>
              <w:pStyle w:val="2"/>
              <w:ind w:left="0" w:leftChars="0" w:firstLine="0" w:firstLineChars="0"/>
              <w:rPr>
                <w:rFonts w:hint="default" w:eastAsia="宋体"/>
                <w:lang w:val="en-US" w:eastAsia="zh-CN"/>
              </w:rPr>
            </w:pPr>
            <w:r>
              <w:rPr>
                <w:rFonts w:hint="eastAsia" w:hAnsi="宋体"/>
                <w:lang w:val="en-US" w:eastAsia="zh-CN"/>
              </w:rPr>
              <w:t xml:space="preserve"> 3、</w:t>
            </w:r>
            <w:r>
              <w:rPr>
                <w:rFonts w:hint="eastAsia" w:ascii="Arial" w:hAnsi="Arial"/>
                <w:szCs w:val="21"/>
                <w:lang w:val="en-US" w:eastAsia="zh-CN"/>
              </w:rPr>
              <w:t>市场咨询调研结束后，将市场咨询调研结果提交将按规定进行公开招标，有关招标文件与市场咨询调研文件不一致的以招标文件为主。</w:t>
            </w:r>
          </w:p>
        </w:tc>
      </w:tr>
      <w:tr w14:paraId="30F02997">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476DB6D9">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14:paraId="322993E2">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14:paraId="543942DD">
            <w:pPr>
              <w:spacing w:line="360" w:lineRule="auto"/>
              <w:ind w:firstLine="211"/>
              <w:rPr>
                <w:rFonts w:hint="eastAsia" w:ascii="宋体" w:hAnsi="宋体" w:eastAsia="宋体" w:cs="宋体"/>
                <w:b w:val="0"/>
                <w:bCs/>
                <w:szCs w:val="21"/>
              </w:rPr>
            </w:pPr>
            <w:r>
              <w:rPr>
                <w:rFonts w:hint="eastAsia" w:ascii="宋体" w:hAnsi="宋体" w:cs="宋体"/>
                <w:b w:val="0"/>
                <w:bCs/>
                <w:szCs w:val="21"/>
                <w:lang w:eastAsia="zh-CN"/>
              </w:rPr>
              <w:t>市场咨询调研</w:t>
            </w:r>
            <w:r>
              <w:rPr>
                <w:rFonts w:hint="eastAsia" w:ascii="宋体" w:hAnsi="宋体" w:eastAsia="宋体" w:cs="宋体"/>
                <w:b w:val="0"/>
                <w:bCs/>
                <w:szCs w:val="21"/>
              </w:rPr>
              <w:t>文件份数：</w:t>
            </w:r>
          </w:p>
          <w:p w14:paraId="29D5589E">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14:paraId="6B359258">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14:paraId="4A319B5B">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14:paraId="34B71633">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14:paraId="7682BFC2">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浙江省台州市椒江区海门街道市府大道东段581号，台州市立医院宣传统战部，吴老师收，联系电话：13736598962；邮箱：tzslyyxc@163.com；样品送达地点：台州市立医院新院区门诊地下室。</w:t>
            </w:r>
          </w:p>
        </w:tc>
      </w:tr>
      <w:tr w14:paraId="5E27947B">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090CF4AD">
            <w:pPr>
              <w:ind w:firstLine="210"/>
              <w:jc w:val="center"/>
              <w:rPr>
                <w:rFonts w:hint="default" w:ascii="宋体" w:hAnsi="宋体" w:eastAsia="宋体"/>
                <w:szCs w:val="21"/>
                <w:lang w:val="en-US" w:eastAsia="zh-CN"/>
              </w:rPr>
            </w:pPr>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14:paraId="5CAFA0A7">
            <w:pPr>
              <w:ind w:firstLine="210"/>
              <w:jc w:val="center"/>
              <w:rPr>
                <w:rFonts w:ascii="宋体" w:hAnsi="宋体"/>
                <w:szCs w:val="21"/>
              </w:rPr>
            </w:pPr>
            <w:r>
              <w:rPr>
                <w:rFonts w:hint="eastAsia" w:ascii="宋体" w:hAnsi="宋体"/>
                <w:szCs w:val="21"/>
                <w:lang w:val="en-US" w:eastAsia="zh-CN"/>
              </w:rPr>
              <w:t>市场咨询调研</w:t>
            </w:r>
            <w:r>
              <w:rPr>
                <w:rFonts w:hint="eastAsia" w:ascii="宋体" w:hAnsi="宋体"/>
                <w:szCs w:val="21"/>
              </w:rPr>
              <w:t>时间和地点</w:t>
            </w:r>
          </w:p>
        </w:tc>
        <w:tc>
          <w:tcPr>
            <w:tcW w:w="6974" w:type="dxa"/>
            <w:tcBorders>
              <w:top w:val="single" w:color="auto" w:sz="4" w:space="0"/>
              <w:left w:val="single" w:color="auto" w:sz="4" w:space="0"/>
              <w:bottom w:val="single" w:color="auto" w:sz="4" w:space="0"/>
              <w:right w:val="single" w:color="auto" w:sz="4" w:space="0"/>
            </w:tcBorders>
            <w:vAlign w:val="center"/>
          </w:tcPr>
          <w:p w14:paraId="331F5398">
            <w:pPr>
              <w:ind w:firstLine="210"/>
              <w:jc w:val="left"/>
              <w:rPr>
                <w:rFonts w:hint="eastAsia" w:ascii="宋体" w:hAnsi="宋体" w:cs="宋体"/>
                <w:b w:val="0"/>
                <w:bCs/>
                <w:szCs w:val="21"/>
                <w:lang w:val="en-US" w:eastAsia="zh-CN"/>
              </w:rPr>
            </w:pPr>
            <w:r>
              <w:rPr>
                <w:rFonts w:hint="eastAsia" w:ascii="宋体" w:hAnsi="宋体" w:cs="宋体"/>
                <w:bCs/>
                <w:szCs w:val="21"/>
                <w:lang w:val="en-US" w:eastAsia="zh-CN"/>
              </w:rPr>
              <w:t>调研</w:t>
            </w:r>
            <w:r>
              <w:rPr>
                <w:rFonts w:hint="eastAsia" w:ascii="宋体" w:hAnsi="宋体" w:eastAsia="宋体" w:cs="宋体"/>
                <w:bCs/>
                <w:szCs w:val="21"/>
              </w:rPr>
              <w:t>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w:t>
            </w:r>
            <w:r>
              <w:rPr>
                <w:rFonts w:hint="eastAsia" w:ascii="宋体" w:hAnsi="宋体" w:cs="宋体"/>
                <w:b w:val="0"/>
                <w:bCs/>
                <w:szCs w:val="21"/>
                <w:lang w:val="en-US" w:eastAsia="zh-CN"/>
              </w:rPr>
              <w:t>。</w:t>
            </w:r>
          </w:p>
          <w:p w14:paraId="4CF84129">
            <w:pPr>
              <w:ind w:firstLine="210"/>
              <w:jc w:val="left"/>
              <w:rPr>
                <w:rFonts w:hint="default" w:ascii="宋体" w:hAnsi="宋体" w:eastAsia="宋体" w:cs="宋体"/>
                <w:bCs/>
                <w:szCs w:val="21"/>
                <w:lang w:val="en-US"/>
              </w:rPr>
            </w:pPr>
            <w:r>
              <w:rPr>
                <w:rFonts w:hint="eastAsia" w:ascii="宋体" w:hAnsi="宋体" w:cs="宋体"/>
                <w:b w:val="0"/>
                <w:bCs/>
                <w:szCs w:val="21"/>
                <w:lang w:val="en-US" w:eastAsia="zh-CN"/>
              </w:rPr>
              <w:t>具体时间与地点另行通知</w:t>
            </w:r>
          </w:p>
        </w:tc>
      </w:tr>
      <w:tr w14:paraId="0D9841C2">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14:paraId="0D720440">
            <w:pPr>
              <w:ind w:firstLine="210"/>
              <w:jc w:val="center"/>
              <w:rPr>
                <w:rFonts w:hint="default" w:ascii="宋体" w:hAnsi="宋体"/>
                <w:szCs w:val="21"/>
                <w:lang w:val="en-US" w:eastAsia="zh-CN"/>
              </w:rPr>
            </w:pPr>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14:paraId="36B7B877">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14:paraId="7E9CE215">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w:t>
            </w:r>
            <w:r>
              <w:rPr>
                <w:rFonts w:hint="eastAsia" w:ascii="宋体" w:hAnsi="宋体" w:cs="宋体"/>
                <w:bCs/>
                <w:szCs w:val="21"/>
                <w:lang w:val="en-US" w:eastAsia="zh-CN"/>
              </w:rPr>
              <w:t>5</w:t>
            </w:r>
            <w:r>
              <w:rPr>
                <w:rFonts w:hint="eastAsia" w:ascii="宋体" w:hAnsi="宋体" w:eastAsia="宋体" w:cs="宋体"/>
                <w:bCs/>
                <w:szCs w:val="21"/>
                <w:lang w:val="en-US" w:eastAsia="zh-CN"/>
              </w:rPr>
              <w:t>年</w:t>
            </w:r>
            <w:r>
              <w:rPr>
                <w:rFonts w:hint="eastAsia" w:ascii="宋体" w:hAnsi="宋体" w:cs="宋体"/>
                <w:bCs/>
                <w:szCs w:val="21"/>
                <w:lang w:val="en-US" w:eastAsia="zh-CN"/>
              </w:rPr>
              <w:t>8</w:t>
            </w:r>
            <w:r>
              <w:rPr>
                <w:rFonts w:hint="eastAsia" w:ascii="宋体" w:hAnsi="宋体" w:eastAsia="宋体" w:cs="宋体"/>
                <w:bCs/>
                <w:szCs w:val="21"/>
                <w:lang w:val="en-US" w:eastAsia="zh-CN"/>
              </w:rPr>
              <w:t>月</w:t>
            </w:r>
            <w:r>
              <w:rPr>
                <w:rFonts w:hint="eastAsia" w:ascii="宋体" w:hAnsi="宋体" w:cs="宋体"/>
                <w:bCs/>
                <w:szCs w:val="21"/>
                <w:lang w:val="en-US" w:eastAsia="zh-CN"/>
              </w:rPr>
              <w:t>31</w:t>
            </w:r>
            <w:r>
              <w:rPr>
                <w:rFonts w:hint="eastAsia" w:ascii="宋体" w:hAnsi="宋体" w:eastAsia="宋体" w:cs="宋体"/>
                <w:bCs/>
                <w:szCs w:val="21"/>
                <w:lang w:val="en-US" w:eastAsia="zh-CN"/>
              </w:rPr>
              <w:t>日下午4:30</w:t>
            </w:r>
          </w:p>
        </w:tc>
      </w:tr>
      <w:tr w14:paraId="2C03EDB6">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14:paraId="25A25A3F">
            <w:pPr>
              <w:ind w:firstLine="210"/>
              <w:jc w:val="center"/>
              <w:rPr>
                <w:rFonts w:hint="default" w:ascii="宋体" w:hAnsi="宋体"/>
                <w:szCs w:val="21"/>
                <w:lang w:val="en-US" w:eastAsia="zh-CN"/>
              </w:rPr>
            </w:pPr>
            <w:r>
              <w:rPr>
                <w:rFonts w:hint="eastAsia" w:ascii="宋体" w:hAnsi="宋体"/>
                <w:szCs w:val="21"/>
                <w:lang w:val="en-US" w:eastAsia="zh-CN"/>
              </w:rPr>
              <w:t>20</w:t>
            </w:r>
          </w:p>
        </w:tc>
        <w:tc>
          <w:tcPr>
            <w:tcW w:w="1844" w:type="dxa"/>
            <w:tcBorders>
              <w:top w:val="single" w:color="auto" w:sz="4" w:space="0"/>
              <w:left w:val="single" w:color="auto" w:sz="4" w:space="0"/>
              <w:bottom w:val="single" w:color="auto" w:sz="4" w:space="0"/>
              <w:right w:val="single" w:color="auto" w:sz="4" w:space="0"/>
            </w:tcBorders>
            <w:vAlign w:val="center"/>
          </w:tcPr>
          <w:p w14:paraId="364218AF">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14:paraId="58067AA5">
            <w:pPr>
              <w:pStyle w:val="4"/>
              <w:spacing w:before="120" w:beforeLines="50" w:after="120" w:afterLines="50"/>
              <w:ind w:firstLine="241"/>
              <w:jc w:val="left"/>
              <w:rPr>
                <w:rFonts w:hint="eastAsia" w:ascii="宋体" w:hAnsi="宋体" w:eastAsia="宋体" w:cs="宋体"/>
                <w:bCs/>
                <w:szCs w:val="21"/>
                <w:lang w:val="en-US" w:eastAsia="zh-CN"/>
              </w:rPr>
            </w:pPr>
            <w:r>
              <w:rPr>
                <w:rFonts w:hint="eastAsia" w:ascii="宋体" w:hAnsi="宋体" w:eastAsia="宋体" w:cs="宋体"/>
                <w:b w:val="0"/>
                <w:bCs/>
                <w:sz w:val="21"/>
                <w:szCs w:val="21"/>
                <w:u w:val="none"/>
                <w:lang w:val="en-US" w:eastAsia="zh-CN"/>
              </w:rPr>
              <w:t>若文件“</w:t>
            </w:r>
            <w:r>
              <w:rPr>
                <w:rFonts w:hint="eastAsia" w:ascii="宋体" w:hAnsi="宋体" w:eastAsia="宋体" w:cs="宋体"/>
                <w:b w:val="0"/>
                <w:bCs/>
                <w:sz w:val="21"/>
                <w:szCs w:val="21"/>
                <w:u w:val="none"/>
              </w:rPr>
              <w:t>第</w:t>
            </w:r>
            <w:r>
              <w:rPr>
                <w:rFonts w:hint="eastAsia" w:ascii="宋体" w:hAnsi="宋体" w:eastAsia="宋体" w:cs="宋体"/>
                <w:b w:val="0"/>
                <w:bCs/>
                <w:sz w:val="21"/>
                <w:szCs w:val="21"/>
                <w:u w:val="none"/>
                <w:lang w:val="en-US" w:eastAsia="zh-CN"/>
              </w:rPr>
              <w:t>二</w:t>
            </w:r>
            <w:r>
              <w:rPr>
                <w:rFonts w:hint="eastAsia" w:ascii="宋体" w:hAnsi="宋体" w:eastAsia="宋体" w:cs="宋体"/>
                <w:b w:val="0"/>
                <w:bCs/>
                <w:sz w:val="21"/>
                <w:szCs w:val="21"/>
                <w:u w:val="none"/>
              </w:rPr>
              <w:t>章 技术标准和要求</w:t>
            </w:r>
            <w:r>
              <w:rPr>
                <w:rFonts w:hint="eastAsia" w:ascii="宋体" w:hAnsi="宋体" w:eastAsia="宋体" w:cs="宋体"/>
                <w:b w:val="0"/>
                <w:bCs/>
                <w:sz w:val="21"/>
                <w:szCs w:val="21"/>
                <w:u w:val="none"/>
                <w:lang w:val="en-US" w:eastAsia="zh-CN"/>
              </w:rPr>
              <w:t>”描述内容与</w:t>
            </w:r>
            <w:r>
              <w:rPr>
                <w:rFonts w:hint="eastAsia" w:ascii="宋体" w:hAnsi="宋体" w:eastAsia="宋体" w:cs="宋体"/>
                <w:b w:val="0"/>
                <w:bCs/>
                <w:color w:val="auto"/>
                <w:sz w:val="21"/>
                <w:szCs w:val="21"/>
                <w:u w:val="none"/>
                <w:lang w:val="en-US" w:eastAsia="zh-CN"/>
              </w:rPr>
              <w:t>“台州市立医院迁建工程</w:t>
            </w:r>
            <w:r>
              <w:rPr>
                <w:rFonts w:hint="eastAsia" w:ascii="宋体" w:hAnsi="宋体" w:cs="宋体"/>
                <w:b w:val="0"/>
                <w:bCs/>
                <w:color w:val="auto"/>
                <w:sz w:val="21"/>
                <w:szCs w:val="21"/>
                <w:u w:val="none"/>
                <w:lang w:val="en-US" w:eastAsia="zh-CN"/>
              </w:rPr>
              <w:t>二期</w:t>
            </w:r>
            <w:r>
              <w:rPr>
                <w:rFonts w:hint="eastAsia" w:ascii="宋体" w:hAnsi="宋体" w:eastAsia="宋体" w:cs="宋体"/>
                <w:b w:val="0"/>
                <w:bCs/>
                <w:color w:val="auto"/>
                <w:sz w:val="21"/>
                <w:szCs w:val="21"/>
                <w:u w:val="none"/>
                <w:lang w:val="en-US" w:eastAsia="zh-CN"/>
              </w:rPr>
              <w:t>导向标识系统清单”中参数出现差异，则以“台州市立医院迁建工程</w:t>
            </w:r>
            <w:r>
              <w:rPr>
                <w:rFonts w:hint="eastAsia" w:ascii="宋体" w:hAnsi="宋体" w:cs="宋体"/>
                <w:b w:val="0"/>
                <w:bCs/>
                <w:color w:val="auto"/>
                <w:sz w:val="21"/>
                <w:szCs w:val="21"/>
                <w:u w:val="none"/>
                <w:lang w:val="en-US" w:eastAsia="zh-CN"/>
              </w:rPr>
              <w:t>二期</w:t>
            </w:r>
            <w:r>
              <w:rPr>
                <w:rFonts w:hint="eastAsia" w:ascii="宋体" w:hAnsi="宋体" w:eastAsia="宋体" w:cs="宋体"/>
                <w:b w:val="0"/>
                <w:bCs/>
                <w:color w:val="auto"/>
                <w:sz w:val="21"/>
                <w:szCs w:val="21"/>
                <w:u w:val="none"/>
                <w:lang w:val="en-US" w:eastAsia="zh-CN"/>
              </w:rPr>
              <w:t>导向标识系统清单”中参数为准</w:t>
            </w:r>
            <w:bookmarkStart w:id="49" w:name="_GoBack"/>
            <w:bookmarkEnd w:id="49"/>
          </w:p>
        </w:tc>
      </w:tr>
    </w:tbl>
    <w:p w14:paraId="6626E415">
      <w:pPr>
        <w:pStyle w:val="4"/>
        <w:spacing w:before="120" w:beforeLines="50" w:after="120" w:afterLines="50"/>
        <w:ind w:firstLine="241"/>
        <w:jc w:val="center"/>
        <w:rPr>
          <w:rFonts w:hint="eastAsia" w:ascii="黑体" w:hAnsi="宋体"/>
          <w:bCs w:val="0"/>
          <w:szCs w:val="20"/>
        </w:rPr>
      </w:pPr>
    </w:p>
    <w:p w14:paraId="77DD231A">
      <w:pPr>
        <w:pStyle w:val="4"/>
        <w:spacing w:before="120" w:beforeLines="50" w:after="120" w:afterLines="50"/>
        <w:ind w:firstLine="241"/>
        <w:jc w:val="center"/>
        <w:rPr>
          <w:rFonts w:hint="eastAsia" w:ascii="黑体" w:hAnsi="宋体"/>
          <w:bCs w:val="0"/>
          <w:szCs w:val="20"/>
        </w:rPr>
      </w:pPr>
    </w:p>
    <w:p w14:paraId="7EA0A681">
      <w:pPr>
        <w:pStyle w:val="4"/>
        <w:spacing w:before="120" w:beforeLines="50" w:after="120" w:afterLines="50"/>
        <w:ind w:firstLine="241"/>
        <w:jc w:val="center"/>
        <w:rPr>
          <w:rFonts w:hint="eastAsia" w:ascii="黑体" w:hAnsi="宋体"/>
          <w:bCs w:val="0"/>
          <w:szCs w:val="20"/>
        </w:rPr>
      </w:pPr>
    </w:p>
    <w:p w14:paraId="5CF8D639">
      <w:pPr>
        <w:pStyle w:val="4"/>
        <w:spacing w:before="120" w:beforeLines="50" w:after="120" w:afterLines="50"/>
        <w:ind w:firstLine="241"/>
        <w:jc w:val="center"/>
        <w:rPr>
          <w:rFonts w:hint="eastAsia" w:ascii="黑体" w:hAnsi="宋体"/>
          <w:bCs w:val="0"/>
          <w:szCs w:val="20"/>
        </w:rPr>
      </w:pPr>
    </w:p>
    <w:p w14:paraId="721D40C9">
      <w:pPr>
        <w:pStyle w:val="4"/>
        <w:spacing w:before="120" w:beforeLines="50" w:after="120" w:afterLines="50"/>
        <w:ind w:firstLine="241"/>
        <w:jc w:val="center"/>
        <w:rPr>
          <w:rFonts w:hint="eastAsia" w:ascii="黑体" w:hAnsi="宋体"/>
          <w:bCs w:val="0"/>
          <w:szCs w:val="20"/>
        </w:rPr>
      </w:pPr>
    </w:p>
    <w:p w14:paraId="6118EFE8">
      <w:pPr>
        <w:pStyle w:val="4"/>
        <w:spacing w:before="120" w:beforeLines="50" w:after="120" w:afterLines="50"/>
        <w:ind w:left="0" w:leftChars="0" w:firstLine="0" w:firstLineChars="0"/>
        <w:jc w:val="center"/>
        <w:rPr>
          <w:rFonts w:ascii="黑体" w:hAnsi="宋体" w:eastAsia="黑体"/>
          <w:bCs w:val="0"/>
          <w:szCs w:val="20"/>
        </w:rPr>
      </w:pPr>
      <w:r>
        <w:rPr>
          <w:rFonts w:hint="eastAsia" w:ascii="黑体" w:hAnsi="宋体"/>
          <w:bCs w:val="0"/>
          <w:szCs w:val="20"/>
        </w:rPr>
        <w:t>第</w:t>
      </w:r>
      <w:r>
        <w:rPr>
          <w:rFonts w:hint="eastAsia" w:ascii="黑体" w:hAnsi="宋体"/>
          <w:bCs w:val="0"/>
          <w:szCs w:val="20"/>
          <w:lang w:val="en-US" w:eastAsia="zh-CN"/>
        </w:rPr>
        <w:t>二</w:t>
      </w:r>
      <w:r>
        <w:rPr>
          <w:rFonts w:hint="eastAsia" w:ascii="黑体" w:hAnsi="宋体"/>
          <w:bCs w:val="0"/>
          <w:szCs w:val="20"/>
        </w:rPr>
        <w:t>章 技术标准和要求</w:t>
      </w:r>
      <w:bookmarkEnd w:id="0"/>
      <w:bookmarkEnd w:id="1"/>
      <w:bookmarkEnd w:id="2"/>
      <w:bookmarkEnd w:id="3"/>
    </w:p>
    <w:p w14:paraId="19293478">
      <w:pPr>
        <w:pStyle w:val="26"/>
        <w:tabs>
          <w:tab w:val="left" w:pos="900"/>
          <w:tab w:val="left" w:pos="3812"/>
        </w:tabs>
        <w:snapToGrid w:val="0"/>
        <w:spacing w:before="240" w:beforeLines="100"/>
        <w:ind w:firstLine="280"/>
        <w:jc w:val="center"/>
        <w:outlineLvl w:val="1"/>
        <w:rPr>
          <w:rFonts w:ascii="宋体" w:hAnsi="宋体"/>
          <w:kern w:val="24"/>
          <w:sz w:val="30"/>
          <w:szCs w:val="30"/>
        </w:rPr>
      </w:pPr>
      <w:bookmarkStart w:id="4" w:name="_Toc11218"/>
      <w:bookmarkStart w:id="5" w:name="_Toc12543"/>
      <w:bookmarkStart w:id="6" w:name="_Toc26253"/>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4"/>
      <w:bookmarkEnd w:id="5"/>
      <w:bookmarkEnd w:id="6"/>
    </w:p>
    <w:p w14:paraId="465D2620">
      <w:pPr>
        <w:pStyle w:val="27"/>
        <w:spacing w:line="400" w:lineRule="exact"/>
        <w:ind w:firstLine="420" w:firstLineChars="200"/>
      </w:pPr>
      <w:r>
        <w:rPr>
          <w:rFonts w:hint="eastAsia"/>
        </w:rPr>
        <w:t>此技术规格书是</w:t>
      </w:r>
      <w:r>
        <w:rPr>
          <w:rFonts w:hint="eastAsia"/>
          <w:lang w:eastAsia="zh-CN"/>
        </w:rPr>
        <w:t>市场咨询调研</w:t>
      </w:r>
      <w:r>
        <w:rPr>
          <w:rFonts w:hint="eastAsia"/>
        </w:rPr>
        <w:t>文件的一部分，内容包括</w:t>
      </w:r>
      <w:r>
        <w:rPr>
          <w:rFonts w:hint="eastAsia"/>
          <w:lang w:val="en-US" w:eastAsia="zh-CN"/>
        </w:rPr>
        <w:t>导向标识</w:t>
      </w:r>
      <w:r>
        <w:rPr>
          <w:rFonts w:hint="eastAsia"/>
        </w:rPr>
        <w:t>的设计、制造、安装、调试和服务等方面的要求。此技术规格书只是</w:t>
      </w:r>
      <w:r>
        <w:rPr>
          <w:rFonts w:hint="eastAsia"/>
          <w:lang w:eastAsia="zh-CN"/>
        </w:rPr>
        <w:t>市场咨询调研</w:t>
      </w:r>
      <w:r>
        <w:rPr>
          <w:rFonts w:hint="eastAsia"/>
        </w:rPr>
        <w:t>设备的一些原则性规定，并不是完整的详尽的要求，</w:t>
      </w:r>
      <w:r>
        <w:rPr>
          <w:rFonts w:hint="eastAsia"/>
          <w:lang w:eastAsia="zh-CN"/>
        </w:rPr>
        <w:t>市场咨询调研</w:t>
      </w:r>
      <w:r>
        <w:rPr>
          <w:rFonts w:hint="eastAsia"/>
        </w:rPr>
        <w:t xml:space="preserve">人有责任对所提供的产品采用优质工艺，对设备设计、制造质量的先进性负责，并符合技术规格书的要求。 </w:t>
      </w:r>
    </w:p>
    <w:p w14:paraId="3B68D5CA">
      <w:pPr>
        <w:pStyle w:val="27"/>
        <w:spacing w:line="400" w:lineRule="exact"/>
        <w:ind w:firstLine="420" w:firstLineChars="200"/>
      </w:pPr>
      <w:r>
        <w:rPr>
          <w:rFonts w:hint="eastAsia"/>
        </w:rPr>
        <w:t>在</w:t>
      </w:r>
      <w:r>
        <w:rPr>
          <w:rFonts w:hint="eastAsia"/>
          <w:lang w:eastAsia="zh-CN"/>
        </w:rPr>
        <w:t>市场咨询调研</w:t>
      </w:r>
      <w:r>
        <w:rPr>
          <w:rFonts w:hint="eastAsia"/>
        </w:rPr>
        <w:t>之前，</w:t>
      </w:r>
      <w:r>
        <w:rPr>
          <w:rFonts w:hint="eastAsia"/>
          <w:lang w:eastAsia="zh-CN"/>
        </w:rPr>
        <w:t>市场咨询调研</w:t>
      </w:r>
      <w:r>
        <w:rPr>
          <w:rFonts w:hint="eastAsia"/>
        </w:rPr>
        <w:t>人须仔细阅读</w:t>
      </w:r>
      <w:r>
        <w:rPr>
          <w:rFonts w:hint="eastAsia"/>
          <w:lang w:eastAsia="zh-CN"/>
        </w:rPr>
        <w:t>市场咨询调研</w:t>
      </w:r>
      <w:r>
        <w:rPr>
          <w:rFonts w:hint="eastAsia"/>
        </w:rPr>
        <w:t>文件，如发现有任何疑问、冲突或技术问题，</w:t>
      </w:r>
      <w:r>
        <w:rPr>
          <w:rFonts w:hint="eastAsia"/>
          <w:lang w:eastAsia="zh-CN"/>
        </w:rPr>
        <w:t>市场咨询调研</w:t>
      </w:r>
      <w:r>
        <w:rPr>
          <w:rFonts w:hint="eastAsia"/>
        </w:rPr>
        <w:t>人须书面向</w:t>
      </w:r>
      <w:r>
        <w:rPr>
          <w:rFonts w:hint="eastAsia"/>
          <w:lang w:eastAsia="zh-CN"/>
        </w:rPr>
        <w:t>市场咨询调研</w:t>
      </w:r>
      <w:r>
        <w:rPr>
          <w:rFonts w:hint="eastAsia"/>
        </w:rPr>
        <w:t>人咨询。</w:t>
      </w:r>
    </w:p>
    <w:p w14:paraId="1DED5A94">
      <w:pPr>
        <w:pStyle w:val="27"/>
        <w:spacing w:line="400" w:lineRule="exact"/>
        <w:ind w:firstLine="420"/>
        <w:rPr>
          <w:rFonts w:hint="eastAsia" w:eastAsia="宋体"/>
          <w:lang w:val="en-US" w:eastAsia="zh-CN"/>
        </w:rPr>
      </w:pPr>
      <w:r>
        <w:rPr>
          <w:rFonts w:hint="eastAsia"/>
          <w:lang w:eastAsia="zh-CN"/>
        </w:rPr>
        <w:t>市场咨询调研</w:t>
      </w:r>
      <w:r>
        <w:rPr>
          <w:rFonts w:hint="eastAsia"/>
        </w:rPr>
        <w:t>人须对</w:t>
      </w:r>
      <w:r>
        <w:rPr>
          <w:rFonts w:hint="eastAsia"/>
          <w:lang w:eastAsia="zh-CN"/>
        </w:rPr>
        <w:t>市场咨询调研</w:t>
      </w:r>
      <w:r>
        <w:rPr>
          <w:rFonts w:hint="eastAsia"/>
        </w:rPr>
        <w:t>文件中涉及到的专利负责，并保证不伤害买方的利益。在法律范围内，所有文字、商标和技术侵权造成的相关费用，</w:t>
      </w:r>
      <w:r>
        <w:rPr>
          <w:rFonts w:hint="eastAsia"/>
          <w:lang w:eastAsia="zh-CN"/>
        </w:rPr>
        <w:t>市场咨询调研</w:t>
      </w:r>
      <w:r>
        <w:rPr>
          <w:rFonts w:hint="eastAsia"/>
        </w:rPr>
        <w:t>人概不负责。</w:t>
      </w:r>
      <w:r>
        <w:rPr>
          <w:rFonts w:hint="eastAsia" w:ascii="宋体" w:hAnsi="Courier New"/>
          <w:szCs w:val="21"/>
          <w:lang w:val="en-US" w:eastAsia="zh-CN"/>
        </w:rPr>
        <w:t>同时提供的深化设计等方案台州市立医院有权根据需要无偿予以应用。</w:t>
      </w:r>
    </w:p>
    <w:p w14:paraId="4D763E09">
      <w:pPr>
        <w:pStyle w:val="29"/>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7" w:name="_Toc16102"/>
      <w:bookmarkStart w:id="8" w:name="_Toc8358"/>
      <w:bookmarkStart w:id="9" w:name="_Toc1488"/>
      <w:r>
        <w:rPr>
          <w:rFonts w:hint="eastAsia" w:ascii="Arial" w:hAnsi="Arial" w:eastAsia="黑体"/>
          <w:kern w:val="24"/>
          <w:sz w:val="28"/>
          <w:szCs w:val="28"/>
        </w:rPr>
        <w:t>（二）</w:t>
      </w:r>
      <w:r>
        <w:rPr>
          <w:rFonts w:hint="eastAsia" w:ascii="Arial" w:hAnsi="Arial" w:eastAsia="黑体"/>
          <w:kern w:val="24"/>
          <w:sz w:val="28"/>
          <w:szCs w:val="28"/>
          <w:lang w:eastAsia="zh-CN"/>
        </w:rPr>
        <w:t>市场咨询调研</w:t>
      </w:r>
      <w:r>
        <w:rPr>
          <w:rFonts w:hint="eastAsia" w:ascii="Arial" w:hAnsi="Arial" w:eastAsia="黑体"/>
          <w:kern w:val="24"/>
          <w:sz w:val="28"/>
          <w:szCs w:val="28"/>
        </w:rPr>
        <w:t>范围</w:t>
      </w:r>
      <w:bookmarkEnd w:id="7"/>
      <w:bookmarkEnd w:id="8"/>
      <w:bookmarkEnd w:id="9"/>
    </w:p>
    <w:p w14:paraId="0326B2EB">
      <w:pPr>
        <w:pStyle w:val="29"/>
        <w:tabs>
          <w:tab w:val="left" w:pos="872"/>
        </w:tabs>
        <w:snapToGrid w:val="0"/>
        <w:spacing w:line="360" w:lineRule="exact"/>
        <w:ind w:firstLine="420" w:firstLineChars="20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项目市场咨询调研</w:t>
      </w:r>
      <w:r>
        <w:rPr>
          <w:rFonts w:ascii="Arial" w:hAnsi="Arial" w:cs="Arial"/>
          <w:szCs w:val="21"/>
        </w:rPr>
        <w:t>范围为</w:t>
      </w:r>
      <w:r>
        <w:rPr>
          <w:rFonts w:hint="eastAsia" w:ascii="Arial" w:hAnsi="Arial" w:cs="Arial"/>
          <w:szCs w:val="21"/>
          <w:lang w:val="en-US" w:eastAsia="zh-CN"/>
        </w:rPr>
        <w:t>导向标识</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lang w:val="en-US" w:eastAsia="zh-CN"/>
        </w:rPr>
        <w:t>导向标识</w:t>
      </w:r>
      <w:r>
        <w:rPr>
          <w:rFonts w:hint="eastAsia" w:ascii="Arial" w:hAnsi="Arial" w:cs="Arial"/>
          <w:szCs w:val="21"/>
        </w:rPr>
        <w:t>供应及为完成相关要求所必需的其他所有材料的供应，包括</w:t>
      </w:r>
      <w:r>
        <w:rPr>
          <w:rFonts w:hint="eastAsia" w:ascii="Arial" w:hAnsi="Arial" w:cs="Arial"/>
          <w:szCs w:val="21"/>
          <w:lang w:val="en-US" w:eastAsia="zh-CN"/>
        </w:rPr>
        <w:t>导向标识的优化设计、加工、</w:t>
      </w:r>
      <w:r>
        <w:rPr>
          <w:rFonts w:hint="eastAsia" w:ascii="Arial" w:hAnsi="Arial" w:cs="Arial"/>
          <w:szCs w:val="21"/>
        </w:rPr>
        <w:t>供货、运输装卸、安装、调试、试运行、验收、培训及售后服务等工作</w:t>
      </w:r>
      <w:r>
        <w:rPr>
          <w:rFonts w:ascii="Arial" w:hAnsi="Arial" w:cs="Arial"/>
          <w:szCs w:val="21"/>
        </w:rPr>
        <w:t>等。</w:t>
      </w:r>
    </w:p>
    <w:p w14:paraId="63B56214">
      <w:pPr>
        <w:pStyle w:val="29"/>
        <w:tabs>
          <w:tab w:val="left" w:pos="872"/>
        </w:tabs>
        <w:snapToGrid w:val="0"/>
        <w:spacing w:line="360" w:lineRule="exact"/>
        <w:ind w:firstLine="420" w:firstLineChars="200"/>
        <w:rPr>
          <w:rFonts w:hint="eastAsia" w:ascii="Arial" w:hAnsi="Arial" w:cs="Arial"/>
          <w:szCs w:val="21"/>
          <w:lang w:eastAsia="zh-CN"/>
        </w:rPr>
      </w:pPr>
      <w:r>
        <w:rPr>
          <w:rFonts w:hint="eastAsia" w:ascii="Arial" w:hAnsi="Arial" w:cs="Arial"/>
          <w:szCs w:val="21"/>
          <w:lang w:eastAsia="zh-CN"/>
        </w:rPr>
        <w:t>2、 产品标准和规范</w:t>
      </w:r>
    </w:p>
    <w:p w14:paraId="5DEFC732">
      <w:pPr>
        <w:pStyle w:val="29"/>
        <w:tabs>
          <w:tab w:val="left" w:pos="872"/>
        </w:tabs>
        <w:snapToGrid w:val="0"/>
        <w:spacing w:line="360" w:lineRule="exact"/>
        <w:ind w:firstLine="420" w:firstLineChars="200"/>
        <w:rPr>
          <w:rFonts w:hint="eastAsia" w:ascii="Arial" w:hAnsi="Arial" w:cs="Arial"/>
          <w:szCs w:val="21"/>
          <w:lang w:eastAsia="zh-CN"/>
        </w:rPr>
      </w:pPr>
      <w:r>
        <w:rPr>
          <w:rFonts w:hint="eastAsia" w:ascii="Arial" w:hAnsi="Arial" w:cs="Arial"/>
          <w:szCs w:val="21"/>
          <w:lang w:val="en-US" w:eastAsia="zh-CN"/>
        </w:rPr>
        <w:t xml:space="preserve">2.1 </w:t>
      </w:r>
      <w:r>
        <w:rPr>
          <w:rFonts w:hint="eastAsia" w:ascii="Arial" w:hAnsi="Arial" w:cs="Arial"/>
          <w:szCs w:val="21"/>
          <w:lang w:eastAsia="zh-CN"/>
        </w:rPr>
        <w:t>产品标准和规范应符合最新版本的中华人民共和国国家标准/规范，或相应的国际标准/规范。</w:t>
      </w:r>
    </w:p>
    <w:p w14:paraId="3E74E5D7">
      <w:pPr>
        <w:pStyle w:val="29"/>
        <w:tabs>
          <w:tab w:val="left" w:pos="872"/>
        </w:tabs>
        <w:snapToGrid w:val="0"/>
        <w:spacing w:line="360" w:lineRule="exact"/>
        <w:ind w:firstLine="420" w:firstLineChars="200"/>
        <w:rPr>
          <w:rFonts w:hint="eastAsia" w:ascii="Arial" w:hAnsi="Arial" w:cs="Arial"/>
          <w:szCs w:val="21"/>
          <w:lang w:eastAsia="zh-CN"/>
        </w:rPr>
      </w:pPr>
      <w:r>
        <w:rPr>
          <w:rFonts w:hint="eastAsia" w:ascii="Arial" w:hAnsi="Arial" w:cs="Arial"/>
          <w:szCs w:val="21"/>
          <w:lang w:val="en-US" w:eastAsia="zh-CN"/>
        </w:rPr>
        <w:t xml:space="preserve">2.2 </w:t>
      </w:r>
      <w:r>
        <w:rPr>
          <w:rFonts w:hint="eastAsia" w:ascii="Arial" w:hAnsi="Arial" w:cs="Arial"/>
          <w:szCs w:val="21"/>
          <w:lang w:eastAsia="zh-CN"/>
        </w:rPr>
        <w:t>本次</w:t>
      </w:r>
      <w:r>
        <w:rPr>
          <w:rFonts w:hint="eastAsia" w:ascii="Arial" w:hAnsi="Arial" w:cs="Arial"/>
          <w:szCs w:val="21"/>
          <w:lang w:val="en-US" w:eastAsia="zh-CN"/>
        </w:rPr>
        <w:t>市场咨询调研</w:t>
      </w:r>
      <w:r>
        <w:rPr>
          <w:rFonts w:hint="eastAsia" w:ascii="Arial" w:hAnsi="Arial" w:cs="Arial"/>
          <w:szCs w:val="21"/>
          <w:lang w:eastAsia="zh-CN"/>
        </w:rPr>
        <w:t>所列的技术性能及配置均为最低要求，</w:t>
      </w:r>
      <w:r>
        <w:rPr>
          <w:rFonts w:hint="eastAsia" w:ascii="Arial" w:hAnsi="Arial" w:cs="Arial"/>
          <w:szCs w:val="21"/>
          <w:lang w:val="en-US" w:eastAsia="zh-CN"/>
        </w:rPr>
        <w:t>参与单位</w:t>
      </w:r>
      <w:r>
        <w:rPr>
          <w:rFonts w:hint="eastAsia" w:ascii="Arial" w:hAnsi="Arial" w:cs="Arial"/>
          <w:szCs w:val="21"/>
          <w:lang w:eastAsia="zh-CN"/>
        </w:rPr>
        <w:t>可以按技术性能及配置要求选用的设备功能、配置、技术性能等于或高于</w:t>
      </w:r>
      <w:r>
        <w:rPr>
          <w:rFonts w:hint="eastAsia" w:ascii="Arial" w:hAnsi="Arial" w:cs="Arial"/>
          <w:szCs w:val="21"/>
          <w:lang w:val="en-US" w:eastAsia="zh-CN"/>
        </w:rPr>
        <w:t>市场咨询调研</w:t>
      </w:r>
      <w:r>
        <w:rPr>
          <w:rFonts w:hint="eastAsia" w:ascii="Arial" w:hAnsi="Arial" w:cs="Arial"/>
          <w:szCs w:val="21"/>
          <w:lang w:eastAsia="zh-CN"/>
        </w:rPr>
        <w:t>文件要求，并完全满足</w:t>
      </w:r>
      <w:r>
        <w:rPr>
          <w:rFonts w:hint="eastAsia" w:ascii="Arial" w:hAnsi="Arial" w:cs="Arial"/>
          <w:szCs w:val="21"/>
          <w:lang w:val="en-US" w:eastAsia="zh-CN"/>
        </w:rPr>
        <w:t>市场咨询调研</w:t>
      </w:r>
      <w:r>
        <w:rPr>
          <w:rFonts w:hint="eastAsia" w:ascii="Arial" w:hAnsi="Arial" w:cs="Arial"/>
          <w:szCs w:val="21"/>
          <w:lang w:eastAsia="zh-CN"/>
        </w:rPr>
        <w:t>需要，否则将可能作出对</w:t>
      </w:r>
      <w:r>
        <w:rPr>
          <w:rFonts w:hint="eastAsia" w:ascii="Arial" w:hAnsi="Arial" w:cs="Arial"/>
          <w:szCs w:val="21"/>
          <w:lang w:val="en-US" w:eastAsia="zh-CN"/>
        </w:rPr>
        <w:t>参与人</w:t>
      </w:r>
      <w:r>
        <w:rPr>
          <w:rFonts w:hint="eastAsia" w:ascii="Arial" w:hAnsi="Arial" w:cs="Arial"/>
          <w:szCs w:val="21"/>
          <w:lang w:eastAsia="zh-CN"/>
        </w:rPr>
        <w:t xml:space="preserve">不利的评定。 </w:t>
      </w:r>
    </w:p>
    <w:p w14:paraId="2D7C32E0">
      <w:pPr>
        <w:pStyle w:val="29"/>
        <w:tabs>
          <w:tab w:val="left" w:pos="872"/>
        </w:tabs>
        <w:snapToGrid w:val="0"/>
        <w:spacing w:line="360" w:lineRule="exact"/>
        <w:ind w:firstLine="420" w:firstLineChars="200"/>
        <w:rPr>
          <w:rFonts w:hint="eastAsia" w:ascii="Arial" w:hAnsi="Arial" w:cs="Arial"/>
          <w:szCs w:val="21"/>
          <w:lang w:eastAsia="zh-CN"/>
        </w:rPr>
      </w:pPr>
      <w:r>
        <w:rPr>
          <w:rFonts w:hint="eastAsia" w:ascii="Arial" w:hAnsi="Arial" w:cs="Arial"/>
          <w:szCs w:val="21"/>
          <w:lang w:val="en-US" w:eastAsia="zh-CN"/>
        </w:rPr>
        <w:t xml:space="preserve">2.3 </w:t>
      </w:r>
      <w:r>
        <w:rPr>
          <w:rFonts w:hint="eastAsia" w:ascii="Arial" w:hAnsi="Arial" w:cs="Arial"/>
          <w:szCs w:val="21"/>
          <w:lang w:eastAsia="zh-CN"/>
        </w:rPr>
        <w:t>保证所供货物、服务或其任何一部分不受第三方提出侵犯其专利权、商标权、版权和工业设计权的指控。</w:t>
      </w:r>
    </w:p>
    <w:p w14:paraId="7F96F0ED">
      <w:pPr>
        <w:pStyle w:val="29"/>
        <w:tabs>
          <w:tab w:val="left" w:pos="872"/>
        </w:tabs>
        <w:snapToGrid w:val="0"/>
        <w:spacing w:line="360" w:lineRule="exact"/>
        <w:ind w:firstLine="420" w:firstLineChars="200"/>
        <w:rPr>
          <w:rFonts w:hint="eastAsia" w:ascii="Arial" w:hAnsi="Arial" w:cs="Arial"/>
          <w:szCs w:val="21"/>
          <w:lang w:eastAsia="zh-CN"/>
        </w:rPr>
      </w:pPr>
      <w:r>
        <w:rPr>
          <w:rFonts w:hint="eastAsia" w:ascii="Arial" w:hAnsi="Arial" w:cs="Arial"/>
          <w:szCs w:val="21"/>
          <w:lang w:val="en-US" w:eastAsia="zh-CN"/>
        </w:rPr>
        <w:t>2.4 参与人提供的</w:t>
      </w:r>
      <w:r>
        <w:rPr>
          <w:rFonts w:hint="eastAsia" w:ascii="Arial" w:hAnsi="Arial" w:cs="Arial"/>
          <w:szCs w:val="21"/>
          <w:lang w:eastAsia="zh-CN"/>
        </w:rPr>
        <w:t>优化设计方案、</w:t>
      </w:r>
      <w:r>
        <w:rPr>
          <w:rFonts w:hint="eastAsia" w:ascii="Arial" w:hAnsi="Arial" w:cs="Arial"/>
          <w:szCs w:val="21"/>
          <w:lang w:val="en-US" w:eastAsia="zh-CN"/>
        </w:rPr>
        <w:t>施工图纸等相关资料</w:t>
      </w:r>
      <w:r>
        <w:rPr>
          <w:rFonts w:hint="eastAsia" w:ascii="Arial" w:hAnsi="Arial" w:cs="Arial"/>
          <w:szCs w:val="21"/>
          <w:lang w:eastAsia="zh-CN"/>
        </w:rPr>
        <w:t>，</w:t>
      </w:r>
      <w:r>
        <w:rPr>
          <w:rFonts w:hint="eastAsia" w:ascii="Arial" w:hAnsi="Arial" w:cs="Arial"/>
          <w:szCs w:val="21"/>
          <w:lang w:val="en-US" w:eastAsia="zh-CN"/>
        </w:rPr>
        <w:t>台州市立医院可根据需要无偿予以应用而不</w:t>
      </w:r>
      <w:r>
        <w:rPr>
          <w:rFonts w:hint="eastAsia" w:ascii="Arial" w:hAnsi="Arial" w:cs="Arial"/>
          <w:szCs w:val="21"/>
          <w:lang w:eastAsia="zh-CN"/>
        </w:rPr>
        <w:t>支付</w:t>
      </w:r>
      <w:r>
        <w:rPr>
          <w:rFonts w:hint="eastAsia" w:ascii="Arial" w:hAnsi="Arial" w:cs="Arial"/>
          <w:szCs w:val="21"/>
          <w:lang w:val="en-US" w:eastAsia="zh-CN"/>
        </w:rPr>
        <w:t>任何其它</w:t>
      </w:r>
      <w:r>
        <w:rPr>
          <w:rFonts w:hint="eastAsia" w:ascii="Arial" w:hAnsi="Arial" w:cs="Arial"/>
          <w:szCs w:val="21"/>
          <w:lang w:eastAsia="zh-CN"/>
        </w:rPr>
        <w:t>费用。</w:t>
      </w:r>
    </w:p>
    <w:p w14:paraId="4E44F584">
      <w:pPr>
        <w:pStyle w:val="29"/>
        <w:tabs>
          <w:tab w:val="left" w:pos="872"/>
        </w:tabs>
        <w:snapToGrid w:val="0"/>
        <w:spacing w:line="360" w:lineRule="exact"/>
        <w:ind w:firstLine="420" w:firstLineChars="200"/>
        <w:rPr>
          <w:rFonts w:hint="eastAsia" w:ascii="Arial" w:hAnsi="Arial" w:cs="Arial"/>
          <w:szCs w:val="21"/>
          <w:lang w:eastAsia="zh-CN"/>
        </w:rPr>
      </w:pPr>
      <w:r>
        <w:rPr>
          <w:rFonts w:hint="eastAsia" w:ascii="Arial" w:hAnsi="Arial" w:cs="Arial"/>
          <w:szCs w:val="21"/>
          <w:lang w:val="en-US" w:eastAsia="zh-CN"/>
        </w:rPr>
        <w:t xml:space="preserve">2.5 </w:t>
      </w:r>
      <w:r>
        <w:rPr>
          <w:rFonts w:hint="eastAsia" w:ascii="Arial" w:hAnsi="Arial" w:cs="Arial"/>
          <w:szCs w:val="21"/>
          <w:lang w:eastAsia="zh-CN"/>
        </w:rPr>
        <w:t>提供有关现场的资料和数据，是</w:t>
      </w:r>
      <w:r>
        <w:rPr>
          <w:rFonts w:hint="eastAsia" w:ascii="Arial" w:hAnsi="Arial" w:cs="Arial"/>
          <w:szCs w:val="21"/>
          <w:lang w:val="en-US" w:eastAsia="zh-CN"/>
        </w:rPr>
        <w:t>台州市立医院</w:t>
      </w:r>
      <w:r>
        <w:rPr>
          <w:rFonts w:hint="eastAsia" w:ascii="Arial" w:hAnsi="Arial" w:cs="Arial"/>
          <w:szCs w:val="21"/>
          <w:lang w:eastAsia="zh-CN"/>
        </w:rPr>
        <w:t>现有的能使</w:t>
      </w:r>
      <w:r>
        <w:rPr>
          <w:rFonts w:hint="eastAsia" w:ascii="Arial" w:hAnsi="Arial" w:cs="Arial"/>
          <w:szCs w:val="21"/>
          <w:lang w:val="en-US" w:eastAsia="zh-CN"/>
        </w:rPr>
        <w:t>参与人</w:t>
      </w:r>
      <w:r>
        <w:rPr>
          <w:rFonts w:hint="eastAsia" w:ascii="Arial" w:hAnsi="Arial" w:cs="Arial"/>
          <w:szCs w:val="21"/>
          <w:lang w:eastAsia="zh-CN"/>
        </w:rPr>
        <w:t>利用的资料，但</w:t>
      </w:r>
      <w:r>
        <w:rPr>
          <w:rFonts w:hint="eastAsia" w:ascii="Arial" w:hAnsi="Arial" w:cs="Arial"/>
          <w:szCs w:val="21"/>
          <w:lang w:val="en-US" w:eastAsia="zh-CN"/>
        </w:rPr>
        <w:t>参与人</w:t>
      </w:r>
      <w:r>
        <w:rPr>
          <w:rFonts w:hint="eastAsia" w:ascii="Arial" w:hAnsi="Arial" w:cs="Arial"/>
          <w:szCs w:val="21"/>
          <w:lang w:eastAsia="zh-CN"/>
        </w:rPr>
        <w:t>由此而做出的推论、理解和结论概不负责。</w:t>
      </w:r>
    </w:p>
    <w:p w14:paraId="185F0639">
      <w:pPr>
        <w:pStyle w:val="30"/>
        <w:tabs>
          <w:tab w:val="left" w:pos="680"/>
          <w:tab w:val="left" w:pos="720"/>
        </w:tabs>
        <w:snapToGrid w:val="0"/>
        <w:spacing w:line="360" w:lineRule="exact"/>
        <w:ind w:left="0" w:leftChars="0" w:right="-57" w:rightChars="-27" w:firstLine="422" w:firstLineChars="200"/>
        <w:rPr>
          <w:rFonts w:ascii="宋体" w:hAnsi="宋体"/>
          <w:b/>
          <w:bCs/>
          <w:kern w:val="2"/>
          <w:sz w:val="21"/>
          <w:szCs w:val="21"/>
        </w:rPr>
      </w:pPr>
      <w:r>
        <w:rPr>
          <w:rFonts w:hint="eastAsia" w:ascii="宋体" w:hAnsi="宋体"/>
          <w:b/>
          <w:bCs/>
          <w:kern w:val="2"/>
          <w:sz w:val="21"/>
          <w:szCs w:val="21"/>
        </w:rPr>
        <w:t xml:space="preserve">3 、 </w:t>
      </w:r>
      <w:r>
        <w:rPr>
          <w:rFonts w:hint="eastAsia" w:ascii="宋体" w:hAnsi="宋体"/>
          <w:b/>
          <w:bCs/>
          <w:kern w:val="2"/>
          <w:sz w:val="21"/>
          <w:szCs w:val="21"/>
          <w:lang w:val="en-US" w:eastAsia="zh-CN"/>
        </w:rPr>
        <w:t>导向标识</w:t>
      </w:r>
      <w:r>
        <w:rPr>
          <w:rFonts w:hint="eastAsia" w:ascii="宋体" w:hAnsi="宋体"/>
          <w:b/>
          <w:bCs/>
          <w:kern w:val="2"/>
          <w:sz w:val="21"/>
          <w:szCs w:val="21"/>
        </w:rPr>
        <w:t>清单（</w:t>
      </w:r>
      <w:r>
        <w:rPr>
          <w:rFonts w:hint="eastAsia" w:ascii="宋体" w:hAnsi="宋体"/>
          <w:b/>
          <w:bCs/>
          <w:kern w:val="2"/>
          <w:sz w:val="21"/>
          <w:szCs w:val="21"/>
          <w:lang w:val="en-US" w:eastAsia="zh-CN"/>
        </w:rPr>
        <w:t>详见《台州市立医院迁建工程二期标识标牌市场咨询调研一览表》）</w:t>
      </w:r>
      <w:r>
        <w:rPr>
          <w:rFonts w:hint="eastAsia" w:ascii="宋体" w:hAnsi="宋体"/>
          <w:b/>
          <w:bCs/>
          <w:kern w:val="2"/>
          <w:sz w:val="21"/>
          <w:szCs w:val="21"/>
        </w:rPr>
        <w:t>。</w:t>
      </w:r>
    </w:p>
    <w:p w14:paraId="0B102D0B">
      <w:pPr>
        <w:pStyle w:val="30"/>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14:paraId="34697B19">
      <w:pPr>
        <w:pStyle w:val="29"/>
        <w:numPr>
          <w:ilvl w:val="0"/>
          <w:numId w:val="1"/>
        </w:numPr>
        <w:tabs>
          <w:tab w:val="left" w:pos="0"/>
          <w:tab w:val="left" w:pos="900"/>
          <w:tab w:val="left" w:pos="3812"/>
          <w:tab w:val="left" w:pos="6388"/>
        </w:tabs>
        <w:snapToGrid w:val="0"/>
        <w:spacing w:before="120" w:beforeLines="50"/>
        <w:jc w:val="center"/>
        <w:outlineLvl w:val="1"/>
        <w:rPr>
          <w:rFonts w:hint="eastAsia" w:ascii="Arial" w:hAnsi="Arial" w:eastAsia="黑体"/>
          <w:kern w:val="24"/>
          <w:sz w:val="28"/>
          <w:szCs w:val="28"/>
          <w:lang w:val="en-US" w:eastAsia="zh-CN"/>
        </w:rPr>
      </w:pPr>
      <w:bookmarkStart w:id="10" w:name="_Toc29297"/>
      <w:bookmarkStart w:id="11" w:name="_Toc14047"/>
      <w:bookmarkStart w:id="12" w:name="_Toc6814"/>
      <w:bookmarkStart w:id="13" w:name="_Toc13119"/>
      <w:bookmarkStart w:id="14" w:name="_Toc2061"/>
      <w:r>
        <w:rPr>
          <w:rFonts w:hint="eastAsia" w:ascii="Arial" w:hAnsi="Arial" w:eastAsia="黑体"/>
          <w:kern w:val="24"/>
          <w:sz w:val="28"/>
          <w:szCs w:val="28"/>
        </w:rPr>
        <w:t>技术参数要求</w:t>
      </w:r>
      <w:bookmarkEnd w:id="10"/>
      <w:bookmarkEnd w:id="11"/>
      <w:bookmarkEnd w:id="12"/>
      <w:r>
        <w:rPr>
          <w:rFonts w:hint="eastAsia" w:ascii="Arial" w:hAnsi="Arial" w:eastAsia="黑体"/>
          <w:kern w:val="24"/>
          <w:sz w:val="28"/>
          <w:szCs w:val="28"/>
          <w:lang w:val="en-US" w:eastAsia="zh-CN"/>
        </w:rPr>
        <w:t>及工程规范</w:t>
      </w:r>
    </w:p>
    <w:p w14:paraId="792EE016">
      <w:pPr>
        <w:pStyle w:val="40"/>
        <w:numPr>
          <w:ilvl w:val="0"/>
          <w:numId w:val="2"/>
        </w:numPr>
        <w:spacing w:line="360" w:lineRule="auto"/>
        <w:ind w:firstLineChars="0"/>
        <w:jc w:val="left"/>
        <w:rPr>
          <w:rFonts w:hint="eastAsia" w:ascii="宋体" w:hAnsi="宋体"/>
          <w:b/>
          <w:szCs w:val="21"/>
        </w:rPr>
      </w:pPr>
      <w:r>
        <w:rPr>
          <w:rFonts w:hint="eastAsia" w:ascii="宋体" w:hAnsi="宋体"/>
          <w:b/>
          <w:szCs w:val="21"/>
        </w:rPr>
        <w:t>工程规范依据</w:t>
      </w:r>
    </w:p>
    <w:p w14:paraId="7D15474F">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GB50300-2013《建筑工程施工质量验收规范》</w:t>
      </w:r>
    </w:p>
    <w:p w14:paraId="06E2C901">
      <w:pPr>
        <w:pStyle w:val="40"/>
        <w:numPr>
          <w:ilvl w:val="1"/>
          <w:numId w:val="3"/>
        </w:numPr>
        <w:spacing w:line="360" w:lineRule="auto"/>
        <w:ind w:firstLineChars="0"/>
        <w:jc w:val="left"/>
        <w:rPr>
          <w:rFonts w:hint="eastAsia" w:ascii="宋体" w:hAnsi="宋体"/>
          <w:szCs w:val="21"/>
        </w:rPr>
      </w:pPr>
      <w:r>
        <w:rPr>
          <w:rFonts w:hint="eastAsia" w:ascii="宋体" w:hAnsi="宋体"/>
          <w:szCs w:val="21"/>
        </w:rPr>
        <w:t>BS 5493《防止钢结构和铁锈操作规范》</w:t>
      </w:r>
    </w:p>
    <w:p w14:paraId="7E5D7637">
      <w:pPr>
        <w:pStyle w:val="40"/>
        <w:numPr>
          <w:ilvl w:val="1"/>
          <w:numId w:val="3"/>
        </w:numPr>
        <w:spacing w:line="360" w:lineRule="auto"/>
        <w:ind w:firstLineChars="0"/>
        <w:jc w:val="left"/>
        <w:rPr>
          <w:rFonts w:hint="eastAsia" w:ascii="宋体" w:hAnsi="宋体"/>
          <w:szCs w:val="21"/>
        </w:rPr>
      </w:pPr>
      <w:r>
        <w:rPr>
          <w:rFonts w:hint="eastAsia" w:ascii="宋体" w:hAnsi="宋体"/>
          <w:szCs w:val="21"/>
        </w:rPr>
        <w:t>《标志用公共信息图形符号》（系列）</w:t>
      </w:r>
    </w:p>
    <w:p w14:paraId="15EBF04F">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GB/T15566-2007《公共信息导向系统》（系列）</w:t>
      </w:r>
    </w:p>
    <w:p w14:paraId="1EC07243">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GB/T20501-2006《公共信息导向系统》（系列）</w:t>
      </w:r>
    </w:p>
    <w:p w14:paraId="11FCF3CE">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 8416-2003《视觉信号表面》</w:t>
      </w:r>
    </w:p>
    <w:p w14:paraId="621A7FCD">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GB2893-2008《安全色》</w:t>
      </w:r>
    </w:p>
    <w:p w14:paraId="7944A687">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GB/T1720《漆膜附着力测定法》</w:t>
      </w:r>
    </w:p>
    <w:p w14:paraId="5243E348">
      <w:pPr>
        <w:pStyle w:val="40"/>
        <w:numPr>
          <w:ilvl w:val="1"/>
          <w:numId w:val="3"/>
        </w:numPr>
        <w:spacing w:line="360" w:lineRule="auto"/>
        <w:ind w:firstLineChars="0"/>
        <w:jc w:val="left"/>
        <w:rPr>
          <w:rFonts w:hint="eastAsia" w:ascii="宋体" w:hAnsi="宋体"/>
          <w:szCs w:val="21"/>
        </w:rPr>
      </w:pPr>
      <w:r>
        <w:rPr>
          <w:rFonts w:hint="eastAsia" w:ascii="宋体" w:hAnsi="宋体"/>
          <w:szCs w:val="21"/>
        </w:rPr>
        <w:t>其他相关标准、规范</w:t>
      </w:r>
    </w:p>
    <w:p w14:paraId="7C0124D5">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、材料部分技术要求</w:t>
      </w:r>
    </w:p>
    <w:p w14:paraId="5A626AEB">
      <w:pPr>
        <w:spacing w:line="360" w:lineRule="auto"/>
        <w:ind w:left="922" w:leftChars="188" w:hanging="527" w:hangingChars="250"/>
        <w:jc w:val="left"/>
        <w:rPr>
          <w:rFonts w:hint="eastAsia" w:ascii="宋体" w:hAnsi="宋体" w:eastAsia="宋体"/>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.1</w:t>
      </w:r>
      <w:r>
        <w:rPr>
          <w:rFonts w:hint="eastAsia" w:ascii="宋体" w:hAnsi="宋体" w:eastAsia="宋体"/>
          <w:sz w:val="21"/>
          <w:szCs w:val="21"/>
        </w:rPr>
        <w:t xml:space="preserve">  通用要求：本项目所采用的标识标牌制造及安装材料包括但不限于钢材、铝材、亚克力、玻璃等。标识标牌施工方</w:t>
      </w:r>
      <w:r>
        <w:rPr>
          <w:rFonts w:hint="eastAsia" w:ascii="宋体" w:hAnsi="宋体" w:eastAsia="宋体"/>
          <w:sz w:val="21"/>
          <w:szCs w:val="21"/>
          <w:lang w:val="en-US" w:eastAsia="zh-CN"/>
        </w:rPr>
        <w:t>应参考</w:t>
      </w:r>
      <w:r>
        <w:rPr>
          <w:rFonts w:hint="eastAsia"/>
          <w:lang w:val="en-US" w:eastAsia="zh-CN"/>
        </w:rPr>
        <w:t>《台州市立医院迁建一期工程导向标识设计方案》及二期深化设计方案</w:t>
      </w:r>
      <w:r>
        <w:rPr>
          <w:rFonts w:hint="eastAsia" w:ascii="宋体" w:hAnsi="宋体" w:eastAsia="宋体"/>
          <w:sz w:val="21"/>
          <w:szCs w:val="21"/>
        </w:rPr>
        <w:t>的要求准备相关材料，所有材料的加工工艺必须符合相关规范。例如钢材防腐除锈、玻璃钢化等工艺，必须保证使用材料的安全性及可靠性；所有材料必须具有足够的强度，能承受一定程度的风压、碰撞及冲击；所有设各材料均应符合中国国家有的关环保标准，标识标牌施工方应提交相关的环保检验报告。</w:t>
      </w:r>
    </w:p>
    <w:p w14:paraId="0C4C34A8">
      <w:pPr>
        <w:spacing w:line="360" w:lineRule="auto"/>
        <w:ind w:left="947" w:leftChars="200" w:hanging="527" w:hangingChars="250"/>
        <w:jc w:val="left"/>
        <w:rPr>
          <w:rFonts w:hint="eastAsia" w:ascii="宋体" w:hAnsi="宋体" w:eastAsia="宋体"/>
          <w:b/>
          <w:sz w:val="21"/>
          <w:szCs w:val="21"/>
          <w:lang w:eastAsia="zh-CN"/>
        </w:rPr>
      </w:pPr>
      <w:r>
        <w:rPr>
          <w:rFonts w:hint="eastAsia" w:ascii="宋体" w:hAnsi="宋体" w:eastAsia="宋体"/>
          <w:b/>
          <w:sz w:val="21"/>
          <w:szCs w:val="21"/>
        </w:rPr>
        <w:t>3.2材料</w:t>
      </w:r>
      <w:r>
        <w:rPr>
          <w:rFonts w:hint="eastAsia" w:ascii="宋体" w:hAnsi="宋体" w:eastAsia="宋体"/>
          <w:b/>
          <w:sz w:val="21"/>
          <w:szCs w:val="21"/>
          <w:lang w:eastAsia="zh-CN"/>
        </w:rPr>
        <w:t>：</w:t>
      </w:r>
      <w:r>
        <w:rPr>
          <w:rFonts w:hint="eastAsia" w:ascii="宋体" w:hAnsi="宋体" w:eastAsia="宋体"/>
          <w:sz w:val="21"/>
          <w:szCs w:val="21"/>
          <w:lang w:val="en-US" w:eastAsia="zh-CN"/>
        </w:rPr>
        <w:t>具体以</w:t>
      </w:r>
      <w:r>
        <w:rPr>
          <w:rFonts w:hint="eastAsia" w:ascii="宋体" w:hAnsi="宋体"/>
          <w:sz w:val="21"/>
          <w:szCs w:val="21"/>
          <w:lang w:val="en-US" w:eastAsia="zh-CN"/>
        </w:rPr>
        <w:t>《</w:t>
      </w:r>
      <w:r>
        <w:rPr>
          <w:rFonts w:hint="eastAsia" w:ascii="宋体" w:hAnsi="宋体" w:eastAsia="宋体"/>
          <w:sz w:val="21"/>
          <w:szCs w:val="21"/>
          <w:lang w:val="en-US" w:eastAsia="zh-CN"/>
        </w:rPr>
        <w:t>台州市立医院迁建</w:t>
      </w:r>
      <w:r>
        <w:rPr>
          <w:rFonts w:hint="eastAsia" w:ascii="宋体" w:hAnsi="宋体"/>
          <w:sz w:val="21"/>
          <w:szCs w:val="21"/>
          <w:lang w:val="en-US" w:eastAsia="zh-CN"/>
        </w:rPr>
        <w:t>二期</w:t>
      </w:r>
      <w:r>
        <w:rPr>
          <w:rFonts w:hint="eastAsia" w:ascii="宋体" w:hAnsi="宋体" w:eastAsia="宋体"/>
          <w:sz w:val="21"/>
          <w:szCs w:val="21"/>
          <w:lang w:val="en-US" w:eastAsia="zh-CN"/>
        </w:rPr>
        <w:t>工程导向标识系统清单》中的工艺等参数要求为主</w:t>
      </w:r>
    </w:p>
    <w:p w14:paraId="5EE8D18D">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3.2.1 不锈钢，厚度1.2mm以上的均须用304或者更高级别的不锈钢板材及卷材；</w:t>
      </w:r>
    </w:p>
    <w:p w14:paraId="55CCEE52">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3.2.2铝板：厚度2mm以上的铝板， 符合相关标准规范，符合工艺设计要求；</w:t>
      </w:r>
    </w:p>
    <w:p w14:paraId="7153AC8A">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3.2.3镀锌钢板：报据设计要求的镀锌钢板，应用于结构或者标识标牌面板，要术符合相关标准规范，符合工艺设计要求；</w:t>
      </w:r>
    </w:p>
    <w:p w14:paraId="2725F80F">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3.2.4 结构件：根据结构设计要求而采用的结构材料，包括但不限于角钢、槽钢、钢管、钢板等材料，要求符合相关标准规范.符合工艺设计要求；</w:t>
      </w:r>
    </w:p>
    <w:p w14:paraId="1A1D751C">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3.2.5扣件：坐部的连接扣件(膨胀螺栓、锚固螺栓、固定螺丝等) 除特殊要求外为隐蔽安装设置；必须采用对标牌材料或安装表面无腐蚀性的材料；必须采用同种类型不锈钢制造安装钊和垫圈；</w:t>
      </w:r>
    </w:p>
    <w:p w14:paraId="5F7F19C9">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3.2.6 亚克力材料：必须为浇铸板材，按照设计要求选用厚度及颜色。最低容许连续服务温度为80摄氏度，到93摄氏度时仍保持稳固，无变形、弯曲或破裂；使用无摩擦清洁剂清洁，对标牌表面不全产生模糊翻或破坏；使用由亚克力厂家推荐的背景颜色油漆，能够最佳黏附到板材表面，而且不会褪色。</w:t>
      </w:r>
    </w:p>
    <w:p w14:paraId="301E9567">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3.2.7玻璃材料：工艺设计规定的各种厚度玻璃，符合相关标准规范，将合工艺设计要求表面外露的所有玻璃必须钢化处理；</w:t>
      </w:r>
    </w:p>
    <w:p w14:paraId="4ADE76C3">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3.2.8不干胶：按照设计要求选择类型及颜色。</w:t>
      </w:r>
    </w:p>
    <w:p w14:paraId="4BA29B1B">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3.2.9油漆：按照设计要求选择类型及颜色。除特别说明外，油漆表面为半哑光。</w:t>
      </w:r>
    </w:p>
    <w:p w14:paraId="590BCEA2">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3.2.10  LED光源：除特殊要求以外，标识标牌内部及外部照明一律为头 LED光源。防护等级不得小于IP65，使用寿命不得小于50000H。</w:t>
      </w:r>
    </w:p>
    <w:p w14:paraId="7ECBE218">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3.2.11其他辅件：包括粘结剂、密封胶、背膛条以及钢筋混凝土基座等等。必须符合相关标准规范，符合工艺设计要求；</w:t>
      </w:r>
    </w:p>
    <w:p w14:paraId="237BB874">
      <w:pPr>
        <w:spacing w:line="360" w:lineRule="auto"/>
        <w:jc w:val="left"/>
        <w:rPr>
          <w:rFonts w:hint="eastAsia" w:ascii="宋体" w:hAnsi="宋体" w:eastAsia="宋体"/>
          <w:b/>
          <w:sz w:val="21"/>
          <w:szCs w:val="21"/>
        </w:rPr>
      </w:pPr>
    </w:p>
    <w:p w14:paraId="5699017A">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、加工工艺部分技术要求</w:t>
      </w:r>
    </w:p>
    <w:p w14:paraId="35DFC7CA">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.1金属结构</w:t>
      </w:r>
    </w:p>
    <w:p w14:paraId="361BF0B6">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.1.1 根据工艺设计及相关规范进行制造。弯曲处不允许裂缝或压弯形式印迹。从后面切割模板外角，以降低外露半径；</w:t>
      </w:r>
    </w:p>
    <w:p w14:paraId="3AC0F005">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.1.2 结构切割边缘必须打磨并抛光光滑，不容许工具痕迹；</w:t>
      </w:r>
    </w:p>
    <w:p w14:paraId="2B2972DA">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.1.3结构焊接有足够的强度和耐久性，结点应紧凑、齐平、光滑而整洁。所有外露表面应经过打磨，而且饰面齐平，无焊接痕迹。饰面焊接应与原物料处理饰面一致。任何对镀锌造成的损坏都必须修补；</w:t>
      </w:r>
    </w:p>
    <w:p w14:paraId="44A83ABB">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.1.4应提供准确地切割标志、字体和数字，角落切割准确，角度完全对齐。从实心板和钢筋材料喷水切割字体和标志，光滑边缘。修饰所有板边并与表面一致；</w:t>
      </w:r>
    </w:p>
    <w:p w14:paraId="5E4FB100">
      <w:pPr>
        <w:spacing w:line="360" w:lineRule="auto"/>
        <w:ind w:left="815" w:leftChars="88"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.1.5 公差：标识标牌尺寸公差：尺寸≤500毫米为1毫米，尺寸&gt;500毫米为2毫米水平、垂直公差允许1度；平整度公差：≤3毫米。</w:t>
      </w:r>
    </w:p>
    <w:p w14:paraId="1582545F">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.1.6 必须在完成的金属结构内进行完全的除锈及防锈喷涂处理。</w:t>
      </w:r>
    </w:p>
    <w:p w14:paraId="44DAA68E">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.2面板加工：</w:t>
      </w:r>
    </w:p>
    <w:p w14:paraId="03C38B40">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.2.1 必须提供准确干净的机械加工，保证面板的精确及平整：根据精确形状进行折弯加工，无凹痕，有笔直的角和边缘。锯割或机切割，成笔直的平面和转角；</w:t>
      </w:r>
    </w:p>
    <w:p w14:paraId="60E5598D">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.2.2整个折弯过程中，保证工件没有扭曲折断和其它使外露表面变形的损坏；</w:t>
      </w:r>
    </w:p>
    <w:p w14:paraId="2EEF04C0">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.2.3雕刻及镂空部分的内沿必须打磨抛光，去除毛刺瑕疵；</w:t>
      </w:r>
    </w:p>
    <w:p w14:paraId="1B8E8809">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.2.4保证面板安装部分的隐蔽与牢周；所有面板及配件必须在工厂装配并在施工现场进行组装；</w:t>
      </w:r>
    </w:p>
    <w:p w14:paraId="62B041C9">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.2.5户外标识标牌必须保证防水性能；</w:t>
      </w:r>
    </w:p>
    <w:p w14:paraId="4AFAB993">
      <w:pPr>
        <w:spacing w:line="360" w:lineRule="auto"/>
        <w:ind w:left="632" w:leftChars="10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.3亚克力部件及面板的加工，</w:t>
      </w:r>
      <w:r>
        <w:rPr>
          <w:rFonts w:hint="eastAsia" w:ascii="宋体" w:hAnsi="宋体" w:eastAsia="宋体"/>
          <w:sz w:val="21"/>
          <w:szCs w:val="21"/>
        </w:rPr>
        <w:t>除特殊要求外，亚克力加工一律采用激光切割方式，以保证边缘光滑，否则必须加抛光边角；必须采用所使用的亚克力厂商推荐的粘接剂进行粘接，保证牢周。尤其较小的文字及图形必须保证牢固粘接；</w:t>
      </w:r>
    </w:p>
    <w:p w14:paraId="7EB69F2D">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.4钢化玻璃面板的加工，</w:t>
      </w:r>
      <w:r>
        <w:rPr>
          <w:rFonts w:hint="eastAsia" w:ascii="宋体" w:hAnsi="宋体" w:eastAsia="宋体"/>
          <w:sz w:val="21"/>
          <w:szCs w:val="21"/>
        </w:rPr>
        <w:t>一律采用厂家定制方式，不得现场切割造型，保证钢化强度；必须采用厂商推荐的粘结剂进行粘结，安装的五金配件均选用不锈钢材质，确保牢固；铺设中须考虑排水，防尘，易于清洁养护；其余按规范执行。</w:t>
      </w:r>
    </w:p>
    <w:p w14:paraId="0F137152">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.5饰面：</w:t>
      </w:r>
      <w:r>
        <w:rPr>
          <w:rFonts w:hint="eastAsia" w:ascii="宋体" w:hAnsi="宋体" w:eastAsia="宋体"/>
          <w:sz w:val="21"/>
          <w:szCs w:val="21"/>
        </w:rPr>
        <w:t>根据工艺设计要求采用标准流程的烤漆和氟碳喷涂，保证所有喷涂表面颜色均匀，膝膜厚度一致、无流挂、无摺皱：除特别说明外，饰面油漆表面为半哑光；</w:t>
      </w:r>
    </w:p>
    <w:p w14:paraId="7F0A666C">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.6丝网印刷</w:t>
      </w:r>
    </w:p>
    <w:p w14:paraId="6BE3C2F6">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.6.1 以被甲方、设计方确认的电子文件进行制版，保证色彩准确。</w:t>
      </w:r>
    </w:p>
    <w:p w14:paraId="3D116494">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.6.2油墨的选用需根据使用条件(户外、使用年限)等因素确定；</w:t>
      </w:r>
    </w:p>
    <w:p w14:paraId="0606FFD0">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.6.3 丝印成品要求图文字体边缘清晰，无毛边，画面整体无瑕疵。保证字体和图形边缘和角落准确而整齐。不允许凸凹圆角，边缘增厚，漏油墨等其它缺陷</w:t>
      </w:r>
    </w:p>
    <w:p w14:paraId="7CDA685E">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.6.4必须保证在玻璃、金属等光滑表面上的附着力，保证在正常清洗维护条件下的使用寿命；</w:t>
      </w:r>
    </w:p>
    <w:p w14:paraId="23E6586B">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.7发光：</w:t>
      </w:r>
    </w:p>
    <w:p w14:paraId="4D5B5103">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.7.1必须保证标识标牌的发光效果，除特殊要求外，以设计方案效果图为发光效果的验收标准；</w:t>
      </w:r>
    </w:p>
    <w:p w14:paraId="2774F327">
      <w:pPr>
        <w:spacing w:line="360" w:lineRule="auto"/>
        <w:ind w:left="588" w:leftChars="80" w:hanging="420" w:hangingChars="2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.7.2发光标识标牌内部布线内部走线要横平竖直、美观，不得随意布线；</w:t>
      </w:r>
    </w:p>
    <w:p w14:paraId="3E166B79">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.7.3 必须保证面板与标识标牌体接缝处不漏光，板面平整，安装牢固，内支撑件不会在发光表面产生阴影</w:t>
      </w:r>
    </w:p>
    <w:p w14:paraId="566CECD1">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.7.4 画面、圈文透光处，要求光线均匀无明显暗。</w:t>
      </w:r>
    </w:p>
    <w:p w14:paraId="0E327DD8">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.7.5必须根据标识标牌特点进行散热结构的设计，保证使用安全；</w:t>
      </w:r>
    </w:p>
    <w:p w14:paraId="1318B86B">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.7.6 标识标牌电源引出线位置应隐蔽设置。</w:t>
      </w:r>
    </w:p>
    <w:p w14:paraId="5F7041E7">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.7.7发光面板光通度不得小于350LUX。</w:t>
      </w:r>
    </w:p>
    <w:p w14:paraId="39497AB3">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、安装部分技术要求</w:t>
      </w:r>
    </w:p>
    <w:p w14:paraId="3B843EA9">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.1  装配</w:t>
      </w:r>
    </w:p>
    <w:p w14:paraId="5A7B2304">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.1.1标识标牌必须在工厂装配，现场安装；</w:t>
      </w:r>
    </w:p>
    <w:p w14:paraId="5427C545">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.1.2导向标识所有外露的尖角处应将毛刺清除干净，以避免伤人，各个部件对接处应平齐，间隙均匀一致。</w:t>
      </w:r>
    </w:p>
    <w:p w14:paraId="265CB50E">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.1.3如标识标牌体外挂独立图文、字体时。图文、字体与牌体的安装间隙应均匀一致，必要时沿图文，字体轮廓边缘打硅酮耐候胶密封。</w:t>
      </w:r>
    </w:p>
    <w:p w14:paraId="590D7108">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.2现场安装：</w:t>
      </w:r>
    </w:p>
    <w:p w14:paraId="5D727B3A">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.2.1现场测量：安装前核实每一个的设置位置和邻近位置，以保证符合安装条件；需更预埋结构的工作必须提前协调，与其他专业同步施工。</w:t>
      </w:r>
    </w:p>
    <w:p w14:paraId="77A00BAA">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.2.2安装装前，标定标识标牌在场地的准确位置，供甲方和设计方审核；任何的调整及改变须以书面文件形式提交相关单位；</w:t>
      </w:r>
    </w:p>
    <w:p w14:paraId="7BE166C3">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.2.3安装标识标牌：面板和其它组成部分，与表面垂直、水平、准确，无外观变形或其它用瑕疵。在明显处与邻近的工作界面对齐；</w:t>
      </w:r>
    </w:p>
    <w:p w14:paraId="3702303D">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2.4接缝的形成：形成严密的接缝，将外露的两个连接件精确而均匀地连接在一起。对于无法在施工现场完全恢复的表面处理，不要进行切割或摩擦。如果某些制品的饰面被切割或摩擦，需将其进回工厂，按要求进行修整，然后重新进行彻底的表面处理加工。</w:t>
      </w:r>
    </w:p>
    <w:p w14:paraId="76BD1377">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.3清洁：</w:t>
      </w:r>
      <w:r>
        <w:rPr>
          <w:rFonts w:hint="eastAsia" w:ascii="宋体" w:hAnsi="宋体" w:eastAsia="宋体"/>
          <w:sz w:val="21"/>
          <w:szCs w:val="21"/>
        </w:rPr>
        <w:t>安装后去除污迹、斑点和其它印迹。不应使用碱性或带有研磨剂的清洁剂；</w:t>
      </w:r>
    </w:p>
    <w:p w14:paraId="0E03498D">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.4成品保护：</w:t>
      </w:r>
      <w:r>
        <w:rPr>
          <w:rFonts w:hint="eastAsia" w:ascii="宋体" w:hAnsi="宋体" w:eastAsia="宋体"/>
          <w:sz w:val="21"/>
          <w:szCs w:val="21"/>
        </w:rPr>
        <w:t xml:space="preserve"> 必须对安装完成的标识标牌进行封闭的成品保护，在甲方指示的时间开始使用。</w:t>
      </w:r>
    </w:p>
    <w:p w14:paraId="0945ED1C">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.5现场修饰：</w:t>
      </w:r>
      <w:r>
        <w:rPr>
          <w:rFonts w:hint="eastAsia" w:ascii="宋体" w:hAnsi="宋体" w:eastAsia="宋体"/>
          <w:sz w:val="21"/>
          <w:szCs w:val="21"/>
        </w:rPr>
        <w:t>使用厂家推荐的产品和系统修饰划痕、污点和涂层，颜色和涂层应与原涂层一致；</w:t>
      </w:r>
    </w:p>
    <w:p w14:paraId="1666DBE5">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.6备品备件：</w:t>
      </w:r>
      <w:r>
        <w:rPr>
          <w:rFonts w:hint="eastAsia" w:ascii="宋体" w:hAnsi="宋体" w:eastAsia="宋体"/>
          <w:sz w:val="21"/>
          <w:szCs w:val="21"/>
        </w:rPr>
        <w:t>向甲方移交备品备件。以单独保护包裹包装，清楚注明项目名称、标牌类型、文字描述。</w:t>
      </w:r>
    </w:p>
    <w:p w14:paraId="549A8D65">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5</w:t>
      </w:r>
      <w:r>
        <w:rPr>
          <w:rFonts w:hint="eastAsia" w:ascii="宋体" w:hAnsi="宋体" w:eastAsia="宋体"/>
          <w:b/>
          <w:sz w:val="21"/>
          <w:szCs w:val="21"/>
        </w:rPr>
        <w:t>、具体的安装点位、内容及生产结构图，需实施单位与甲方确认及二次深化。</w:t>
      </w:r>
    </w:p>
    <w:p w14:paraId="08A60124">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6</w:t>
      </w:r>
      <w:r>
        <w:rPr>
          <w:rFonts w:hint="eastAsia" w:ascii="宋体" w:hAnsi="宋体" w:eastAsia="宋体"/>
          <w:b/>
          <w:sz w:val="21"/>
          <w:szCs w:val="21"/>
        </w:rPr>
        <w:t>、所有提供货物须符合环保要求。</w:t>
      </w:r>
    </w:p>
    <w:p w14:paraId="7B22322C">
      <w:pPr>
        <w:pStyle w:val="10"/>
        <w:tabs>
          <w:tab w:val="left" w:pos="574"/>
        </w:tabs>
        <w:spacing w:line="276" w:lineRule="auto"/>
        <w:rPr>
          <w:rFonts w:hint="eastAsia"/>
          <w:b/>
          <w:szCs w:val="32"/>
        </w:rPr>
      </w:pPr>
      <w:bookmarkStart w:id="15" w:name="_Toc461443938"/>
      <w:r>
        <w:rPr>
          <w:rFonts w:hint="eastAsia"/>
          <w:b/>
          <w:szCs w:val="32"/>
          <w:lang w:val="en-US" w:eastAsia="zh-CN"/>
        </w:rPr>
        <w:t>7</w:t>
      </w:r>
      <w:r>
        <w:rPr>
          <w:rFonts w:hint="eastAsia"/>
          <w:b/>
          <w:szCs w:val="32"/>
        </w:rPr>
        <w:t>、</w:t>
      </w:r>
      <w:r>
        <w:rPr>
          <w:b/>
          <w:szCs w:val="32"/>
        </w:rPr>
        <w:t>投标样品</w:t>
      </w:r>
      <w:bookmarkEnd w:id="15"/>
    </w:p>
    <w:p w14:paraId="6AF11B92">
      <w:pPr>
        <w:pStyle w:val="10"/>
        <w:tabs>
          <w:tab w:val="left" w:pos="574"/>
        </w:tabs>
        <w:spacing w:line="276" w:lineRule="auto"/>
        <w:ind w:left="282"/>
        <w:rPr>
          <w:rFonts w:hint="eastAsia"/>
          <w:szCs w:val="32"/>
        </w:rPr>
      </w:pPr>
      <w:r>
        <w:rPr>
          <w:rFonts w:hint="eastAsia"/>
          <w:szCs w:val="32"/>
        </w:rPr>
        <w:t>提供样品要求：</w:t>
      </w:r>
      <w:r>
        <w:rPr>
          <w:rFonts w:hint="eastAsia"/>
          <w:szCs w:val="32"/>
          <w:lang w:val="en-US" w:eastAsia="zh-CN"/>
        </w:rPr>
        <w:t>按</w:t>
      </w:r>
      <w:r>
        <w:rPr>
          <w:rFonts w:hint="eastAsia"/>
          <w:lang w:val="en-US" w:eastAsia="zh-CN"/>
        </w:rPr>
        <w:t>《台州市立医院迁建二期工程导向标识设计方案》和《台州市立医院迁建二期工程导向标识系统清单列表》</w:t>
      </w:r>
      <w:r>
        <w:rPr>
          <w:rFonts w:hint="eastAsia"/>
          <w:szCs w:val="32"/>
        </w:rPr>
        <w:t>提供以下实物样品：</w:t>
      </w:r>
    </w:p>
    <w:p w14:paraId="297FB6C6">
      <w:pPr>
        <w:pStyle w:val="10"/>
        <w:tabs>
          <w:tab w:val="left" w:pos="574"/>
        </w:tabs>
        <w:spacing w:line="276" w:lineRule="auto"/>
        <w:ind w:left="282"/>
        <w:rPr>
          <w:rFonts w:hint="default"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7.1户外引导指标立牌”（可缩少比例）</w:t>
      </w:r>
    </w:p>
    <w:p w14:paraId="5394293C">
      <w:pPr>
        <w:pStyle w:val="10"/>
        <w:tabs>
          <w:tab w:val="left" w:pos="574"/>
        </w:tabs>
        <w:spacing w:line="276" w:lineRule="auto"/>
        <w:ind w:left="282"/>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7.2通道悬吊式方向指引标识（可缩小比例）</w:t>
      </w:r>
    </w:p>
    <w:p w14:paraId="4CD90DF7">
      <w:pPr>
        <w:pStyle w:val="10"/>
        <w:tabs>
          <w:tab w:val="left" w:pos="574"/>
        </w:tabs>
        <w:spacing w:line="276" w:lineRule="auto"/>
        <w:ind w:left="282"/>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7.3楼层索引标识（可缩小比例）</w:t>
      </w:r>
    </w:p>
    <w:p w14:paraId="0BA09A53">
      <w:pPr>
        <w:pStyle w:val="10"/>
        <w:tabs>
          <w:tab w:val="left" w:pos="574"/>
        </w:tabs>
        <w:spacing w:line="276" w:lineRule="auto"/>
        <w:ind w:left="282"/>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7.4诊室门牌标识（1:1）</w:t>
      </w:r>
    </w:p>
    <w:p w14:paraId="7CCB4681">
      <w:pPr>
        <w:pStyle w:val="7"/>
        <w:ind w:left="0" w:firstLine="0" w:firstLineChars="0"/>
        <w:rPr>
          <w:rFonts w:hint="eastAsia" w:asciiTheme="majorHAnsi" w:hAnsiTheme="majorHAnsi" w:eastAsiaTheme="majorEastAsia" w:cstheme="majorBidi"/>
          <w:b/>
          <w:bCs/>
          <w:sz w:val="24"/>
          <w:lang w:val="en-US" w:eastAsia="zh-CN"/>
        </w:rPr>
      </w:pPr>
      <w:r>
        <w:rPr>
          <w:rFonts w:hint="eastAsia"/>
          <w:lang w:val="en-US" w:eastAsia="zh-CN"/>
        </w:rPr>
        <w:t xml:space="preserve">  8、</w:t>
      </w:r>
      <w:r>
        <w:rPr>
          <w:rFonts w:hint="eastAsia" w:asciiTheme="majorHAnsi" w:hAnsiTheme="majorHAnsi" w:eastAsiaTheme="majorEastAsia" w:cstheme="majorBidi"/>
          <w:b/>
          <w:bCs/>
          <w:sz w:val="24"/>
          <w:lang w:val="en-US" w:eastAsia="zh-CN"/>
        </w:rPr>
        <w:t>材料品牌推荐一览表</w:t>
      </w:r>
    </w:p>
    <w:p w14:paraId="37E7E131">
      <w:pPr>
        <w:spacing w:line="500" w:lineRule="exact"/>
        <w:jc w:val="center"/>
        <w:rPr>
          <w:rFonts w:hint="eastAsia" w:hAnsi="宋体" w:cs="宋体"/>
          <w:b/>
          <w:bCs/>
          <w:sz w:val="21"/>
          <w:szCs w:val="21"/>
          <w:bdr w:val="single" w:color="auto" w:sz="4" w:space="0"/>
        </w:rPr>
      </w:pPr>
      <w:r>
        <w:rPr>
          <w:rFonts w:hint="eastAsia" w:hAnsi="宋体" w:cs="宋体"/>
          <w:b/>
          <w:bCs/>
          <w:sz w:val="21"/>
          <w:szCs w:val="21"/>
        </w:rPr>
        <w:t>主要材料品牌要求推荐一览表</w:t>
      </w:r>
    </w:p>
    <w:bookmarkEnd w:id="13"/>
    <w:bookmarkEnd w:id="14"/>
    <w:tbl>
      <w:tblPr>
        <w:tblStyle w:val="16"/>
        <w:tblW w:w="9326" w:type="dxa"/>
        <w:tblInd w:w="455" w:type="dxa"/>
        <w:tblLayout w:type="fixed"/>
        <w:tblCellMar>
          <w:top w:w="0" w:type="dxa"/>
          <w:left w:w="108" w:type="dxa"/>
          <w:bottom w:w="0" w:type="dxa"/>
          <w:right w:w="108" w:type="dxa"/>
        </w:tblCellMar>
      </w:tblPr>
      <w:tblGrid>
        <w:gridCol w:w="828"/>
        <w:gridCol w:w="1950"/>
        <w:gridCol w:w="2829"/>
        <w:gridCol w:w="3719"/>
      </w:tblGrid>
      <w:tr w14:paraId="7B57B895">
        <w:tblPrEx>
          <w:tblCellMar>
            <w:top w:w="0" w:type="dxa"/>
            <w:left w:w="108" w:type="dxa"/>
            <w:bottom w:w="0" w:type="dxa"/>
            <w:right w:w="108" w:type="dxa"/>
          </w:tblCellMar>
        </w:tblPrEx>
        <w:trPr>
          <w:trHeight w:val="55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E902024">
            <w:pPr>
              <w:widowControl/>
              <w:jc w:val="center"/>
              <w:rPr>
                <w:rFonts w:ascii="宋体" w:hAnsi="宋体" w:cs="宋体"/>
                <w:b/>
                <w:bCs/>
                <w:kern w:val="0"/>
                <w:sz w:val="24"/>
              </w:rPr>
            </w:pPr>
            <w:r>
              <w:rPr>
                <w:rFonts w:hint="eastAsia" w:ascii="宋体" w:hAnsi="宋体" w:cs="宋体"/>
                <w:b/>
                <w:bCs/>
                <w:kern w:val="0"/>
                <w:sz w:val="24"/>
              </w:rPr>
              <w:t>序号</w:t>
            </w:r>
          </w:p>
        </w:tc>
        <w:tc>
          <w:tcPr>
            <w:tcW w:w="1950" w:type="dxa"/>
            <w:tcBorders>
              <w:top w:val="single" w:color="auto" w:sz="4" w:space="0"/>
              <w:left w:val="nil"/>
              <w:bottom w:val="single" w:color="auto" w:sz="4" w:space="0"/>
              <w:right w:val="single" w:color="auto" w:sz="4" w:space="0"/>
            </w:tcBorders>
            <w:noWrap w:val="0"/>
            <w:vAlign w:val="center"/>
          </w:tcPr>
          <w:p w14:paraId="35451154">
            <w:pPr>
              <w:widowControl/>
              <w:jc w:val="center"/>
              <w:rPr>
                <w:rFonts w:ascii="宋体" w:hAnsi="宋体" w:cs="宋体"/>
                <w:b/>
                <w:bCs/>
                <w:kern w:val="0"/>
                <w:sz w:val="24"/>
              </w:rPr>
            </w:pPr>
            <w:r>
              <w:rPr>
                <w:rFonts w:hint="eastAsia" w:ascii="宋体" w:hAnsi="宋体" w:cs="宋体"/>
                <w:b/>
                <w:bCs/>
                <w:kern w:val="0"/>
                <w:sz w:val="24"/>
              </w:rPr>
              <w:t>主材名称</w:t>
            </w:r>
          </w:p>
        </w:tc>
        <w:tc>
          <w:tcPr>
            <w:tcW w:w="2829" w:type="dxa"/>
            <w:tcBorders>
              <w:top w:val="single" w:color="auto" w:sz="4" w:space="0"/>
              <w:left w:val="nil"/>
              <w:bottom w:val="single" w:color="auto" w:sz="4" w:space="0"/>
              <w:right w:val="single" w:color="auto" w:sz="4" w:space="0"/>
            </w:tcBorders>
            <w:noWrap w:val="0"/>
            <w:vAlign w:val="center"/>
          </w:tcPr>
          <w:p w14:paraId="229CCAF5">
            <w:pPr>
              <w:widowControl/>
              <w:jc w:val="center"/>
              <w:rPr>
                <w:rFonts w:ascii="宋体" w:hAnsi="宋体" w:cs="宋体"/>
                <w:b/>
                <w:bCs/>
                <w:kern w:val="0"/>
                <w:sz w:val="24"/>
              </w:rPr>
            </w:pPr>
            <w:r>
              <w:rPr>
                <w:rFonts w:hint="eastAsia" w:ascii="宋体" w:hAnsi="宋体" w:cs="宋体"/>
                <w:b/>
                <w:bCs/>
                <w:kern w:val="0"/>
                <w:sz w:val="24"/>
              </w:rPr>
              <w:t>品牌</w:t>
            </w:r>
          </w:p>
        </w:tc>
        <w:tc>
          <w:tcPr>
            <w:tcW w:w="3719" w:type="dxa"/>
            <w:tcBorders>
              <w:top w:val="single" w:color="auto" w:sz="4" w:space="0"/>
              <w:left w:val="nil"/>
              <w:bottom w:val="single" w:color="auto" w:sz="4" w:space="0"/>
              <w:right w:val="single" w:color="auto" w:sz="4" w:space="0"/>
            </w:tcBorders>
            <w:noWrap w:val="0"/>
            <w:vAlign w:val="center"/>
          </w:tcPr>
          <w:p w14:paraId="4CAD4678">
            <w:pPr>
              <w:widowControl/>
              <w:jc w:val="center"/>
              <w:rPr>
                <w:rFonts w:ascii="宋体" w:hAnsi="宋体" w:cs="宋体"/>
                <w:b/>
                <w:bCs/>
                <w:kern w:val="0"/>
                <w:sz w:val="24"/>
              </w:rPr>
            </w:pPr>
            <w:r>
              <w:rPr>
                <w:rFonts w:hint="eastAsia" w:ascii="宋体" w:hAnsi="宋体" w:cs="宋体"/>
                <w:b/>
                <w:bCs/>
                <w:kern w:val="0"/>
                <w:sz w:val="24"/>
              </w:rPr>
              <w:t>要求</w:t>
            </w:r>
          </w:p>
        </w:tc>
      </w:tr>
      <w:tr w14:paraId="075D4CB9">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0EB8EDC3">
            <w:pPr>
              <w:widowControl/>
              <w:jc w:val="center"/>
              <w:rPr>
                <w:rFonts w:ascii="宋体" w:hAnsi="宋体" w:cs="宋体"/>
                <w:kern w:val="0"/>
                <w:szCs w:val="21"/>
              </w:rPr>
            </w:pPr>
            <w:r>
              <w:rPr>
                <w:rFonts w:hint="eastAsia" w:ascii="宋体" w:hAnsi="宋体" w:cs="宋体"/>
                <w:kern w:val="0"/>
                <w:szCs w:val="21"/>
              </w:rPr>
              <w:t>1</w:t>
            </w:r>
          </w:p>
        </w:tc>
        <w:tc>
          <w:tcPr>
            <w:tcW w:w="1950" w:type="dxa"/>
            <w:tcBorders>
              <w:top w:val="nil"/>
              <w:left w:val="nil"/>
              <w:bottom w:val="single" w:color="auto" w:sz="4" w:space="0"/>
              <w:right w:val="single" w:color="auto" w:sz="4" w:space="0"/>
            </w:tcBorders>
            <w:noWrap w:val="0"/>
            <w:vAlign w:val="center"/>
          </w:tcPr>
          <w:p w14:paraId="3AAE9927">
            <w:pPr>
              <w:widowControl/>
              <w:jc w:val="center"/>
              <w:rPr>
                <w:rFonts w:ascii="宋体" w:hAnsi="宋体" w:cs="宋体"/>
                <w:kern w:val="0"/>
                <w:szCs w:val="21"/>
              </w:rPr>
            </w:pPr>
            <w:r>
              <w:rPr>
                <w:rFonts w:hint="eastAsia" w:ascii="宋体" w:hAnsi="宋体" w:cs="宋体"/>
                <w:kern w:val="0"/>
                <w:szCs w:val="21"/>
              </w:rPr>
              <w:t>不锈钢板</w:t>
            </w:r>
          </w:p>
        </w:tc>
        <w:tc>
          <w:tcPr>
            <w:tcW w:w="2829" w:type="dxa"/>
            <w:tcBorders>
              <w:top w:val="nil"/>
              <w:left w:val="nil"/>
              <w:bottom w:val="single" w:color="auto" w:sz="4" w:space="0"/>
              <w:right w:val="single" w:color="auto" w:sz="4" w:space="0"/>
            </w:tcBorders>
            <w:noWrap w:val="0"/>
            <w:vAlign w:val="center"/>
          </w:tcPr>
          <w:p w14:paraId="2D785766">
            <w:pPr>
              <w:widowControl/>
              <w:jc w:val="center"/>
              <w:rPr>
                <w:rFonts w:ascii="宋体" w:hAnsi="宋体" w:cs="宋体"/>
                <w:kern w:val="0"/>
                <w:szCs w:val="21"/>
              </w:rPr>
            </w:pPr>
            <w:r>
              <w:rPr>
                <w:rFonts w:hint="eastAsia" w:ascii="宋体" w:hAnsi="宋体" w:cs="宋体"/>
                <w:kern w:val="0"/>
                <w:szCs w:val="21"/>
              </w:rPr>
              <w:t>宝钢／鞍钢／宝新或同档次以上</w:t>
            </w:r>
          </w:p>
        </w:tc>
        <w:tc>
          <w:tcPr>
            <w:tcW w:w="3719" w:type="dxa"/>
            <w:tcBorders>
              <w:top w:val="nil"/>
              <w:left w:val="nil"/>
              <w:bottom w:val="single" w:color="auto" w:sz="4" w:space="0"/>
              <w:right w:val="single" w:color="auto" w:sz="4" w:space="0"/>
            </w:tcBorders>
            <w:noWrap w:val="0"/>
            <w:vAlign w:val="center"/>
          </w:tcPr>
          <w:p w14:paraId="0FF753FC">
            <w:pPr>
              <w:widowControl/>
              <w:jc w:val="center"/>
              <w:rPr>
                <w:rFonts w:hint="eastAsia" w:ascii="宋体" w:hAnsi="宋体" w:cs="宋体"/>
                <w:kern w:val="0"/>
                <w:szCs w:val="21"/>
              </w:rPr>
            </w:pPr>
            <w:r>
              <w:rPr>
                <w:rFonts w:hint="eastAsia" w:ascii="宋体" w:hAnsi="宋体" w:cs="宋体"/>
                <w:kern w:val="0"/>
                <w:szCs w:val="21"/>
              </w:rPr>
              <w:t>304不锈钢（需经过304七项化学检验），根据设计要求，应用于结构或者标识标牌。</w:t>
            </w:r>
          </w:p>
        </w:tc>
      </w:tr>
      <w:tr w14:paraId="3336E726">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2B65A22F">
            <w:pPr>
              <w:widowControl/>
              <w:jc w:val="center"/>
              <w:rPr>
                <w:rFonts w:ascii="宋体" w:hAnsi="宋体" w:cs="宋体"/>
                <w:kern w:val="0"/>
                <w:sz w:val="24"/>
              </w:rPr>
            </w:pPr>
            <w:r>
              <w:rPr>
                <w:rFonts w:hint="eastAsia" w:ascii="宋体" w:hAnsi="宋体" w:cs="宋体"/>
                <w:kern w:val="0"/>
                <w:sz w:val="24"/>
              </w:rPr>
              <w:t>2</w:t>
            </w:r>
          </w:p>
        </w:tc>
        <w:tc>
          <w:tcPr>
            <w:tcW w:w="1950" w:type="dxa"/>
            <w:tcBorders>
              <w:top w:val="nil"/>
              <w:left w:val="nil"/>
              <w:bottom w:val="single" w:color="auto" w:sz="4" w:space="0"/>
              <w:right w:val="single" w:color="auto" w:sz="4" w:space="0"/>
            </w:tcBorders>
            <w:noWrap w:val="0"/>
            <w:vAlign w:val="center"/>
          </w:tcPr>
          <w:p w14:paraId="68701448">
            <w:pPr>
              <w:widowControl/>
              <w:jc w:val="center"/>
              <w:rPr>
                <w:rFonts w:ascii="宋体" w:hAnsi="宋体" w:cs="宋体"/>
                <w:kern w:val="0"/>
                <w:szCs w:val="21"/>
              </w:rPr>
            </w:pPr>
            <w:r>
              <w:rPr>
                <w:rFonts w:hint="eastAsia" w:ascii="宋体" w:hAnsi="宋体" w:cs="宋体"/>
                <w:kern w:val="0"/>
                <w:szCs w:val="21"/>
              </w:rPr>
              <w:t>油漆</w:t>
            </w:r>
          </w:p>
        </w:tc>
        <w:tc>
          <w:tcPr>
            <w:tcW w:w="2829" w:type="dxa"/>
            <w:tcBorders>
              <w:top w:val="nil"/>
              <w:left w:val="nil"/>
              <w:bottom w:val="single" w:color="auto" w:sz="4" w:space="0"/>
              <w:right w:val="single" w:color="auto" w:sz="4" w:space="0"/>
            </w:tcBorders>
            <w:noWrap w:val="0"/>
            <w:vAlign w:val="center"/>
          </w:tcPr>
          <w:p w14:paraId="26E8D38F">
            <w:pPr>
              <w:widowControl/>
              <w:jc w:val="center"/>
              <w:rPr>
                <w:rFonts w:ascii="宋体" w:hAnsi="宋体" w:cs="宋体"/>
                <w:kern w:val="0"/>
                <w:szCs w:val="21"/>
              </w:rPr>
            </w:pPr>
            <w:r>
              <w:rPr>
                <w:rFonts w:hint="eastAsia" w:ascii="宋体" w:hAnsi="宋体" w:cs="宋体"/>
                <w:kern w:val="0"/>
                <w:szCs w:val="21"/>
              </w:rPr>
              <w:t>阿克苏／福莱姆／菲玛琪或同档次以上</w:t>
            </w:r>
          </w:p>
        </w:tc>
        <w:tc>
          <w:tcPr>
            <w:tcW w:w="3719" w:type="dxa"/>
            <w:tcBorders>
              <w:top w:val="nil"/>
              <w:left w:val="nil"/>
              <w:bottom w:val="single" w:color="auto" w:sz="4" w:space="0"/>
              <w:right w:val="single" w:color="auto" w:sz="4" w:space="0"/>
            </w:tcBorders>
            <w:noWrap w:val="0"/>
            <w:vAlign w:val="center"/>
          </w:tcPr>
          <w:p w14:paraId="05DCE7D2">
            <w:pPr>
              <w:widowControl/>
              <w:jc w:val="center"/>
              <w:rPr>
                <w:rFonts w:hint="eastAsia" w:ascii="宋体" w:hAnsi="宋体" w:cs="宋体"/>
                <w:kern w:val="0"/>
                <w:szCs w:val="21"/>
              </w:rPr>
            </w:pPr>
            <w:r>
              <w:rPr>
                <w:rFonts w:hint="eastAsia" w:ascii="宋体" w:hAnsi="宋体" w:cs="宋体"/>
                <w:kern w:val="0"/>
                <w:szCs w:val="21"/>
              </w:rPr>
              <w:t>按照设计要求选择类型及颜色。除特别说明外，油漆表面为半哑光。</w:t>
            </w:r>
          </w:p>
        </w:tc>
      </w:tr>
      <w:tr w14:paraId="0C76730A">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2F004BB1">
            <w:pPr>
              <w:widowControl/>
              <w:jc w:val="center"/>
              <w:rPr>
                <w:rFonts w:ascii="宋体" w:hAnsi="宋体" w:cs="宋体"/>
                <w:kern w:val="0"/>
                <w:szCs w:val="21"/>
              </w:rPr>
            </w:pPr>
            <w:r>
              <w:rPr>
                <w:rFonts w:hint="eastAsia" w:ascii="宋体" w:hAnsi="宋体" w:cs="宋体"/>
                <w:kern w:val="0"/>
                <w:szCs w:val="21"/>
              </w:rPr>
              <w:t>3</w:t>
            </w:r>
          </w:p>
        </w:tc>
        <w:tc>
          <w:tcPr>
            <w:tcW w:w="1950" w:type="dxa"/>
            <w:tcBorders>
              <w:top w:val="nil"/>
              <w:left w:val="nil"/>
              <w:bottom w:val="single" w:color="auto" w:sz="4" w:space="0"/>
              <w:right w:val="single" w:color="auto" w:sz="4" w:space="0"/>
            </w:tcBorders>
            <w:noWrap w:val="0"/>
            <w:vAlign w:val="center"/>
          </w:tcPr>
          <w:p w14:paraId="069A0D4D">
            <w:pPr>
              <w:widowControl/>
              <w:jc w:val="center"/>
              <w:rPr>
                <w:rFonts w:ascii="宋体" w:hAnsi="宋体" w:cs="宋体"/>
                <w:kern w:val="0"/>
                <w:szCs w:val="21"/>
              </w:rPr>
            </w:pPr>
            <w:r>
              <w:rPr>
                <w:rFonts w:hint="eastAsia" w:ascii="宋体" w:hAnsi="宋体" w:cs="宋体"/>
                <w:kern w:val="0"/>
                <w:szCs w:val="21"/>
              </w:rPr>
              <w:t>油墨</w:t>
            </w:r>
          </w:p>
        </w:tc>
        <w:tc>
          <w:tcPr>
            <w:tcW w:w="2829" w:type="dxa"/>
            <w:tcBorders>
              <w:top w:val="nil"/>
              <w:left w:val="nil"/>
              <w:bottom w:val="single" w:color="auto" w:sz="4" w:space="0"/>
              <w:right w:val="single" w:color="auto" w:sz="4" w:space="0"/>
            </w:tcBorders>
            <w:noWrap w:val="0"/>
            <w:vAlign w:val="center"/>
          </w:tcPr>
          <w:p w14:paraId="6ED1B9F0">
            <w:pPr>
              <w:widowControl/>
              <w:jc w:val="center"/>
              <w:rPr>
                <w:rFonts w:ascii="宋体" w:hAnsi="宋体" w:cs="宋体"/>
                <w:kern w:val="0"/>
                <w:szCs w:val="21"/>
              </w:rPr>
            </w:pPr>
            <w:r>
              <w:rPr>
                <w:rFonts w:hint="eastAsia" w:ascii="宋体" w:hAnsi="宋体" w:cs="宋体"/>
                <w:kern w:val="0"/>
                <w:szCs w:val="21"/>
              </w:rPr>
              <w:t>富士／精工／dic或同档次以上</w:t>
            </w:r>
          </w:p>
        </w:tc>
        <w:tc>
          <w:tcPr>
            <w:tcW w:w="3719" w:type="dxa"/>
            <w:tcBorders>
              <w:top w:val="nil"/>
              <w:left w:val="nil"/>
              <w:bottom w:val="single" w:color="auto" w:sz="4" w:space="0"/>
              <w:right w:val="single" w:color="auto" w:sz="4" w:space="0"/>
            </w:tcBorders>
            <w:noWrap w:val="0"/>
            <w:vAlign w:val="center"/>
          </w:tcPr>
          <w:p w14:paraId="5E4BEDA7">
            <w:pPr>
              <w:widowControl/>
              <w:jc w:val="center"/>
              <w:rPr>
                <w:rFonts w:hint="eastAsia" w:ascii="宋体" w:hAnsi="宋体" w:cs="宋体"/>
                <w:kern w:val="0"/>
                <w:szCs w:val="21"/>
              </w:rPr>
            </w:pPr>
            <w:r>
              <w:rPr>
                <w:rFonts w:hint="eastAsia" w:ascii="宋体" w:hAnsi="宋体" w:cs="宋体"/>
                <w:kern w:val="0"/>
                <w:szCs w:val="21"/>
              </w:rPr>
              <w:t>按照设计要求选择类型及颜色，除特别说明外。</w:t>
            </w:r>
          </w:p>
        </w:tc>
      </w:tr>
      <w:tr w14:paraId="37E3AC47">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789EAB44">
            <w:pPr>
              <w:widowControl/>
              <w:jc w:val="center"/>
              <w:rPr>
                <w:rFonts w:ascii="宋体" w:hAnsi="宋体" w:cs="宋体"/>
                <w:kern w:val="0"/>
                <w:sz w:val="24"/>
              </w:rPr>
            </w:pPr>
            <w:r>
              <w:rPr>
                <w:rFonts w:hint="eastAsia" w:ascii="宋体" w:hAnsi="宋体" w:cs="宋体"/>
                <w:kern w:val="0"/>
                <w:sz w:val="24"/>
              </w:rPr>
              <w:t>4</w:t>
            </w:r>
          </w:p>
        </w:tc>
        <w:tc>
          <w:tcPr>
            <w:tcW w:w="1950" w:type="dxa"/>
            <w:tcBorders>
              <w:top w:val="nil"/>
              <w:left w:val="nil"/>
              <w:bottom w:val="single" w:color="auto" w:sz="4" w:space="0"/>
              <w:right w:val="single" w:color="auto" w:sz="4" w:space="0"/>
            </w:tcBorders>
            <w:noWrap w:val="0"/>
            <w:vAlign w:val="center"/>
          </w:tcPr>
          <w:p w14:paraId="6F216AB7">
            <w:pPr>
              <w:widowControl/>
              <w:jc w:val="center"/>
              <w:rPr>
                <w:rFonts w:ascii="宋体" w:hAnsi="宋体" w:cs="宋体"/>
                <w:kern w:val="0"/>
                <w:szCs w:val="21"/>
              </w:rPr>
            </w:pPr>
            <w:r>
              <w:rPr>
                <w:rFonts w:hint="eastAsia" w:ascii="宋体" w:hAnsi="宋体" w:cs="宋体"/>
                <w:kern w:val="0"/>
                <w:szCs w:val="21"/>
              </w:rPr>
              <w:t>铝材</w:t>
            </w:r>
          </w:p>
        </w:tc>
        <w:tc>
          <w:tcPr>
            <w:tcW w:w="2829" w:type="dxa"/>
            <w:tcBorders>
              <w:top w:val="nil"/>
              <w:left w:val="nil"/>
              <w:bottom w:val="single" w:color="auto" w:sz="4" w:space="0"/>
              <w:right w:val="single" w:color="auto" w:sz="4" w:space="0"/>
            </w:tcBorders>
            <w:noWrap w:val="0"/>
            <w:vAlign w:val="center"/>
          </w:tcPr>
          <w:p w14:paraId="308B806E">
            <w:pPr>
              <w:widowControl/>
              <w:jc w:val="center"/>
              <w:rPr>
                <w:rFonts w:ascii="宋体" w:hAnsi="宋体" w:cs="宋体"/>
                <w:kern w:val="0"/>
                <w:szCs w:val="21"/>
              </w:rPr>
            </w:pPr>
            <w:r>
              <w:rPr>
                <w:rFonts w:hint="eastAsia" w:ascii="宋体" w:hAnsi="宋体" w:cs="宋体"/>
                <w:kern w:val="0"/>
                <w:szCs w:val="21"/>
              </w:rPr>
              <w:t>凤铝／中铝／坚美或同档次以上</w:t>
            </w:r>
          </w:p>
        </w:tc>
        <w:tc>
          <w:tcPr>
            <w:tcW w:w="3719" w:type="dxa"/>
            <w:tcBorders>
              <w:top w:val="nil"/>
              <w:left w:val="nil"/>
              <w:bottom w:val="single" w:color="auto" w:sz="4" w:space="0"/>
              <w:right w:val="single" w:color="auto" w:sz="4" w:space="0"/>
            </w:tcBorders>
            <w:noWrap w:val="0"/>
            <w:vAlign w:val="center"/>
          </w:tcPr>
          <w:p w14:paraId="6E551A9C">
            <w:pPr>
              <w:widowControl/>
              <w:jc w:val="center"/>
              <w:rPr>
                <w:rFonts w:hint="eastAsia" w:ascii="宋体" w:hAnsi="宋体" w:cs="宋体"/>
                <w:kern w:val="0"/>
                <w:szCs w:val="21"/>
              </w:rPr>
            </w:pPr>
            <w:r>
              <w:rPr>
                <w:rFonts w:hint="eastAsia" w:ascii="宋体" w:hAnsi="宋体" w:cs="宋体"/>
                <w:kern w:val="0"/>
                <w:szCs w:val="21"/>
              </w:rPr>
              <w:t>厚度2mm以上的铝板，符合相关标准规范，符合工艺设计要求。</w:t>
            </w:r>
          </w:p>
        </w:tc>
      </w:tr>
      <w:tr w14:paraId="091368F3">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5AD62868">
            <w:pPr>
              <w:widowControl/>
              <w:jc w:val="center"/>
              <w:rPr>
                <w:rFonts w:ascii="宋体" w:hAnsi="宋体" w:cs="宋体"/>
                <w:kern w:val="0"/>
                <w:szCs w:val="21"/>
              </w:rPr>
            </w:pPr>
            <w:r>
              <w:rPr>
                <w:rFonts w:hint="eastAsia" w:ascii="宋体" w:hAnsi="宋体" w:cs="宋体"/>
                <w:kern w:val="0"/>
                <w:szCs w:val="21"/>
              </w:rPr>
              <w:t>5</w:t>
            </w:r>
          </w:p>
        </w:tc>
        <w:tc>
          <w:tcPr>
            <w:tcW w:w="1950" w:type="dxa"/>
            <w:tcBorders>
              <w:top w:val="nil"/>
              <w:left w:val="nil"/>
              <w:bottom w:val="single" w:color="auto" w:sz="4" w:space="0"/>
              <w:right w:val="single" w:color="auto" w:sz="4" w:space="0"/>
            </w:tcBorders>
            <w:noWrap w:val="0"/>
            <w:vAlign w:val="center"/>
          </w:tcPr>
          <w:p w14:paraId="683D3C2D">
            <w:pPr>
              <w:widowControl/>
              <w:jc w:val="center"/>
              <w:rPr>
                <w:rFonts w:ascii="宋体" w:hAnsi="宋体" w:cs="宋体"/>
                <w:kern w:val="0"/>
                <w:szCs w:val="21"/>
              </w:rPr>
            </w:pPr>
            <w:r>
              <w:rPr>
                <w:rFonts w:hint="eastAsia" w:ascii="宋体" w:hAnsi="宋体" w:cs="宋体"/>
                <w:kern w:val="0"/>
                <w:szCs w:val="21"/>
              </w:rPr>
              <w:t>标识立体发光字亚克力面板</w:t>
            </w:r>
          </w:p>
        </w:tc>
        <w:tc>
          <w:tcPr>
            <w:tcW w:w="2829" w:type="dxa"/>
            <w:tcBorders>
              <w:top w:val="nil"/>
              <w:left w:val="nil"/>
              <w:bottom w:val="single" w:color="auto" w:sz="4" w:space="0"/>
              <w:right w:val="single" w:color="auto" w:sz="4" w:space="0"/>
            </w:tcBorders>
            <w:noWrap w:val="0"/>
            <w:vAlign w:val="center"/>
          </w:tcPr>
          <w:p w14:paraId="332325A8">
            <w:pPr>
              <w:widowControl/>
              <w:jc w:val="center"/>
              <w:rPr>
                <w:rFonts w:ascii="宋体" w:hAnsi="宋体" w:cs="宋体"/>
                <w:kern w:val="0"/>
                <w:szCs w:val="21"/>
              </w:rPr>
            </w:pPr>
            <w:r>
              <w:rPr>
                <w:rFonts w:hint="eastAsia" w:ascii="宋体" w:hAnsi="宋体" w:cs="宋体"/>
                <w:kern w:val="0"/>
                <w:szCs w:val="21"/>
              </w:rPr>
              <w:t>汤臣亚克力／申美／苏州或同档次以上</w:t>
            </w:r>
          </w:p>
        </w:tc>
        <w:tc>
          <w:tcPr>
            <w:tcW w:w="3719" w:type="dxa"/>
            <w:tcBorders>
              <w:top w:val="nil"/>
              <w:left w:val="nil"/>
              <w:bottom w:val="single" w:color="auto" w:sz="4" w:space="0"/>
              <w:right w:val="single" w:color="auto" w:sz="4" w:space="0"/>
            </w:tcBorders>
            <w:noWrap w:val="0"/>
            <w:vAlign w:val="center"/>
          </w:tcPr>
          <w:p w14:paraId="5CAFA949">
            <w:pPr>
              <w:widowControl/>
              <w:jc w:val="center"/>
              <w:rPr>
                <w:rFonts w:hint="eastAsia" w:ascii="宋体" w:hAnsi="宋体" w:cs="宋体"/>
                <w:kern w:val="0"/>
                <w:szCs w:val="21"/>
              </w:rPr>
            </w:pPr>
            <w:r>
              <w:rPr>
                <w:rFonts w:hint="eastAsia" w:ascii="宋体" w:hAnsi="宋体" w:cs="宋体"/>
                <w:kern w:val="0"/>
                <w:szCs w:val="21"/>
              </w:rPr>
              <w:t>厚度3mm/5mm进口，除特别说明外。</w:t>
            </w:r>
          </w:p>
        </w:tc>
      </w:tr>
      <w:tr w14:paraId="6F553885">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60830911">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1950" w:type="dxa"/>
            <w:tcBorders>
              <w:top w:val="nil"/>
              <w:left w:val="nil"/>
              <w:bottom w:val="single" w:color="auto" w:sz="4" w:space="0"/>
              <w:right w:val="single" w:color="auto" w:sz="4" w:space="0"/>
            </w:tcBorders>
            <w:noWrap w:val="0"/>
            <w:vAlign w:val="center"/>
          </w:tcPr>
          <w:p w14:paraId="1DA2D71A">
            <w:pPr>
              <w:widowControl/>
              <w:jc w:val="center"/>
              <w:rPr>
                <w:rFonts w:ascii="宋体" w:hAnsi="宋体" w:cs="宋体"/>
                <w:kern w:val="0"/>
                <w:szCs w:val="21"/>
              </w:rPr>
            </w:pPr>
            <w:r>
              <w:rPr>
                <w:rFonts w:hint="eastAsia" w:ascii="宋体" w:hAnsi="宋体" w:cs="宋体"/>
                <w:kern w:val="0"/>
                <w:szCs w:val="21"/>
              </w:rPr>
              <w:t>LED变压器/开关电源</w:t>
            </w:r>
          </w:p>
        </w:tc>
        <w:tc>
          <w:tcPr>
            <w:tcW w:w="2829" w:type="dxa"/>
            <w:tcBorders>
              <w:top w:val="nil"/>
              <w:left w:val="nil"/>
              <w:bottom w:val="single" w:color="auto" w:sz="4" w:space="0"/>
              <w:right w:val="single" w:color="auto" w:sz="4" w:space="0"/>
            </w:tcBorders>
            <w:noWrap w:val="0"/>
            <w:vAlign w:val="center"/>
          </w:tcPr>
          <w:p w14:paraId="168AC84F">
            <w:pPr>
              <w:widowControl/>
              <w:jc w:val="center"/>
              <w:rPr>
                <w:rFonts w:ascii="宋体" w:hAnsi="宋体" w:cs="宋体"/>
                <w:kern w:val="0"/>
                <w:szCs w:val="21"/>
              </w:rPr>
            </w:pPr>
            <w:r>
              <w:rPr>
                <w:rFonts w:hint="eastAsia" w:ascii="宋体" w:hAnsi="宋体" w:cs="宋体"/>
                <w:kern w:val="0"/>
                <w:szCs w:val="21"/>
              </w:rPr>
              <w:t>诚联／创联／欧姆龙或同档次以上</w:t>
            </w:r>
          </w:p>
        </w:tc>
        <w:tc>
          <w:tcPr>
            <w:tcW w:w="3719" w:type="dxa"/>
            <w:tcBorders>
              <w:top w:val="nil"/>
              <w:left w:val="nil"/>
              <w:bottom w:val="single" w:color="auto" w:sz="4" w:space="0"/>
              <w:right w:val="single" w:color="auto" w:sz="4" w:space="0"/>
            </w:tcBorders>
            <w:noWrap w:val="0"/>
            <w:vAlign w:val="center"/>
          </w:tcPr>
          <w:p w14:paraId="6A44973D">
            <w:pPr>
              <w:widowControl/>
              <w:jc w:val="center"/>
              <w:rPr>
                <w:rFonts w:hint="eastAsia" w:ascii="宋体" w:hAnsi="宋体" w:cs="宋体"/>
                <w:kern w:val="0"/>
                <w:szCs w:val="21"/>
              </w:rPr>
            </w:pPr>
            <w:r>
              <w:rPr>
                <w:rFonts w:hint="eastAsia" w:ascii="宋体" w:hAnsi="宋体" w:cs="宋体"/>
                <w:kern w:val="0"/>
                <w:szCs w:val="21"/>
              </w:rPr>
              <w:t>无风扇。</w:t>
            </w:r>
          </w:p>
        </w:tc>
      </w:tr>
      <w:tr w14:paraId="30FF4A6C">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60D24679">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1950" w:type="dxa"/>
            <w:tcBorders>
              <w:top w:val="nil"/>
              <w:left w:val="nil"/>
              <w:bottom w:val="single" w:color="auto" w:sz="4" w:space="0"/>
              <w:right w:val="single" w:color="auto" w:sz="4" w:space="0"/>
            </w:tcBorders>
            <w:noWrap w:val="0"/>
            <w:vAlign w:val="center"/>
          </w:tcPr>
          <w:p w14:paraId="3DE8BF13">
            <w:pPr>
              <w:widowControl/>
              <w:jc w:val="center"/>
              <w:rPr>
                <w:rFonts w:ascii="宋体" w:hAnsi="宋体" w:cs="宋体"/>
                <w:kern w:val="0"/>
                <w:szCs w:val="21"/>
              </w:rPr>
            </w:pPr>
            <w:r>
              <w:rPr>
                <w:rFonts w:hint="eastAsia" w:ascii="宋体" w:hAnsi="宋体" w:cs="宋体"/>
                <w:kern w:val="0"/>
                <w:szCs w:val="21"/>
              </w:rPr>
              <w:t>配电箱内的电源开关</w:t>
            </w:r>
          </w:p>
        </w:tc>
        <w:tc>
          <w:tcPr>
            <w:tcW w:w="2829" w:type="dxa"/>
            <w:tcBorders>
              <w:top w:val="nil"/>
              <w:left w:val="nil"/>
              <w:bottom w:val="single" w:color="auto" w:sz="4" w:space="0"/>
              <w:right w:val="single" w:color="auto" w:sz="4" w:space="0"/>
            </w:tcBorders>
            <w:noWrap w:val="0"/>
            <w:vAlign w:val="center"/>
          </w:tcPr>
          <w:p w14:paraId="0A222B4D">
            <w:pPr>
              <w:widowControl/>
              <w:jc w:val="center"/>
              <w:rPr>
                <w:rFonts w:ascii="宋体" w:hAnsi="宋体" w:cs="宋体"/>
                <w:kern w:val="0"/>
                <w:szCs w:val="21"/>
              </w:rPr>
            </w:pPr>
            <w:r>
              <w:rPr>
                <w:rFonts w:hint="eastAsia" w:ascii="宋体" w:hAnsi="宋体" w:cs="宋体"/>
                <w:kern w:val="0"/>
                <w:szCs w:val="21"/>
              </w:rPr>
              <w:t>正泰/德力西/施耐德或同档次以上</w:t>
            </w:r>
          </w:p>
        </w:tc>
        <w:tc>
          <w:tcPr>
            <w:tcW w:w="3719" w:type="dxa"/>
            <w:tcBorders>
              <w:top w:val="nil"/>
              <w:left w:val="nil"/>
              <w:bottom w:val="single" w:color="auto" w:sz="4" w:space="0"/>
              <w:right w:val="single" w:color="auto" w:sz="4" w:space="0"/>
            </w:tcBorders>
            <w:noWrap w:val="0"/>
            <w:vAlign w:val="center"/>
          </w:tcPr>
          <w:p w14:paraId="282B856C">
            <w:pPr>
              <w:widowControl/>
              <w:jc w:val="left"/>
              <w:rPr>
                <w:rFonts w:ascii="宋体" w:hAnsi="宋体" w:cs="宋体"/>
                <w:kern w:val="0"/>
                <w:sz w:val="24"/>
              </w:rPr>
            </w:pPr>
            <w:r>
              <w:rPr>
                <w:rFonts w:hint="eastAsia" w:ascii="宋体" w:hAnsi="宋体" w:cs="宋体"/>
                <w:kern w:val="0"/>
                <w:sz w:val="24"/>
              </w:rPr>
              <w:t>　</w:t>
            </w:r>
          </w:p>
        </w:tc>
      </w:tr>
      <w:tr w14:paraId="2C3A1770">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14:paraId="3C08BB57">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8</w:t>
            </w:r>
          </w:p>
        </w:tc>
        <w:tc>
          <w:tcPr>
            <w:tcW w:w="1950" w:type="dxa"/>
            <w:tcBorders>
              <w:top w:val="nil"/>
              <w:left w:val="nil"/>
              <w:bottom w:val="single" w:color="auto" w:sz="4" w:space="0"/>
              <w:right w:val="single" w:color="auto" w:sz="4" w:space="0"/>
            </w:tcBorders>
            <w:noWrap w:val="0"/>
            <w:vAlign w:val="center"/>
          </w:tcPr>
          <w:p w14:paraId="5F7208F3">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hAnsi="宋体" w:cs="宋体"/>
                <w:sz w:val="21"/>
                <w:szCs w:val="21"/>
              </w:rPr>
              <w:t>LED</w:t>
            </w:r>
          </w:p>
        </w:tc>
        <w:tc>
          <w:tcPr>
            <w:tcW w:w="2829" w:type="dxa"/>
            <w:tcBorders>
              <w:top w:val="nil"/>
              <w:left w:val="nil"/>
              <w:bottom w:val="single" w:color="auto" w:sz="4" w:space="0"/>
              <w:right w:val="single" w:color="auto" w:sz="4" w:space="0"/>
            </w:tcBorders>
            <w:noWrap w:val="0"/>
            <w:vAlign w:val="center"/>
          </w:tcPr>
          <w:p w14:paraId="61A4DFEE">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ascii="宋体" w:hAnsi="宋体" w:cs="宋体"/>
                <w:kern w:val="0"/>
                <w:szCs w:val="21"/>
              </w:rPr>
              <w:t>科锐、欧司朗、台湾晶元同档次及以上</w:t>
            </w:r>
          </w:p>
        </w:tc>
        <w:tc>
          <w:tcPr>
            <w:tcW w:w="3719" w:type="dxa"/>
            <w:tcBorders>
              <w:top w:val="nil"/>
              <w:left w:val="nil"/>
              <w:bottom w:val="single" w:color="auto" w:sz="4" w:space="0"/>
              <w:right w:val="single" w:color="auto" w:sz="4" w:space="0"/>
            </w:tcBorders>
            <w:noWrap w:val="0"/>
            <w:vAlign w:val="center"/>
          </w:tcPr>
          <w:p w14:paraId="2F9C40A4">
            <w:pPr>
              <w:widowControl/>
              <w:jc w:val="left"/>
              <w:rPr>
                <w:rFonts w:hint="eastAsia" w:ascii="宋体" w:hAnsi="宋体" w:cs="宋体"/>
                <w:kern w:val="0"/>
                <w:sz w:val="24"/>
              </w:rPr>
            </w:pPr>
          </w:p>
        </w:tc>
      </w:tr>
    </w:tbl>
    <w:p w14:paraId="6A9F2537">
      <w:pPr>
        <w:spacing w:line="360" w:lineRule="auto"/>
        <w:ind w:firstLine="632" w:firstLineChars="300"/>
        <w:rPr>
          <w:rFonts w:hint="eastAsia"/>
          <w:b/>
          <w:szCs w:val="21"/>
          <w:u w:val="single"/>
        </w:rPr>
      </w:pPr>
    </w:p>
    <w:p w14:paraId="278164E0">
      <w:pPr>
        <w:spacing w:line="360" w:lineRule="auto"/>
        <w:ind w:firstLine="632" w:firstLineChars="300"/>
        <w:rPr>
          <w:rFonts w:hint="eastAsia" w:ascii="宋体" w:hAnsi="宋体" w:cs="宋体"/>
          <w:color w:val="000000" w:themeColor="text1"/>
          <w:szCs w:val="21"/>
          <w:lang w:eastAsia="zh-CN"/>
          <w14:textFill>
            <w14:solidFill>
              <w14:schemeClr w14:val="tx1"/>
            </w14:solidFill>
          </w14:textFill>
        </w:rPr>
      </w:pPr>
      <w:r>
        <w:rPr>
          <w:rFonts w:hint="eastAsia"/>
          <w:b/>
          <w:szCs w:val="21"/>
          <w:u w:val="single"/>
        </w:rPr>
        <w:t>注：</w:t>
      </w:r>
      <w:r>
        <w:rPr>
          <w:rFonts w:hint="eastAsia" w:ascii="宋体" w:hAnsi="宋体" w:cs="宋体"/>
          <w:szCs w:val="21"/>
        </w:rPr>
        <w:t>以上提及的品牌或型号仅为参照品牌型号，</w:t>
      </w:r>
      <w:r>
        <w:rPr>
          <w:rFonts w:hint="eastAsia" w:ascii="宋体" w:hAnsi="宋体" w:cs="宋体"/>
          <w:szCs w:val="21"/>
          <w:lang w:val="en-US" w:eastAsia="zh-CN"/>
        </w:rPr>
        <w:t>参与单位</w:t>
      </w:r>
      <w:r>
        <w:rPr>
          <w:rFonts w:hint="eastAsia" w:ascii="宋体" w:hAnsi="宋体" w:cs="宋体"/>
          <w:szCs w:val="21"/>
        </w:rPr>
        <w:t>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w:t>
      </w:r>
      <w:r>
        <w:rPr>
          <w:rFonts w:hint="eastAsia" w:ascii="宋体" w:hAnsi="宋体" w:cs="宋体"/>
          <w:color w:val="000000" w:themeColor="text1"/>
          <w:szCs w:val="21"/>
          <w:lang w:val="en-US" w:eastAsia="zh-CN"/>
          <w14:textFill>
            <w14:solidFill>
              <w14:schemeClr w14:val="tx1"/>
            </w14:solidFill>
          </w14:textFill>
        </w:rPr>
        <w:t>市场咨询调研</w:t>
      </w:r>
      <w:r>
        <w:rPr>
          <w:rFonts w:hint="eastAsia" w:ascii="宋体" w:hAnsi="宋体" w:cs="宋体"/>
          <w:color w:val="000000" w:themeColor="text1"/>
          <w:szCs w:val="21"/>
          <w:lang w:eastAsia="zh-CN"/>
          <w14:textFill>
            <w14:solidFill>
              <w14:schemeClr w14:val="tx1"/>
            </w14:solidFill>
          </w14:textFill>
        </w:rPr>
        <w:t>。</w:t>
      </w:r>
    </w:p>
    <w:p w14:paraId="2693C288">
      <w:pP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br w:type="page"/>
      </w:r>
    </w:p>
    <w:p w14:paraId="561CFE00">
      <w:pPr>
        <w:pStyle w:val="5"/>
        <w:spacing w:before="120" w:after="120" w:line="400" w:lineRule="exact"/>
        <w:ind w:left="0" w:leftChars="0" w:firstLine="0" w:firstLineChars="0"/>
        <w:outlineLvl w:val="0"/>
        <w:rPr>
          <w:rFonts w:hint="eastAsia" w:ascii="宋体" w:hAnsi="宋体" w:cs="宋体"/>
          <w:b w:val="0"/>
          <w:bCs w:val="0"/>
          <w:sz w:val="24"/>
          <w:szCs w:val="24"/>
          <w:lang w:val="en-US" w:eastAsia="zh-CN"/>
        </w:rPr>
      </w:pPr>
      <w:bookmarkStart w:id="16" w:name="_Toc18848"/>
      <w:bookmarkStart w:id="17" w:name="_Toc23803"/>
      <w:bookmarkStart w:id="18" w:name="_Toc24243"/>
      <w:r>
        <w:rPr>
          <w:rFonts w:hint="eastAsia" w:ascii="宋体" w:hAnsi="宋体" w:cs="宋体"/>
          <w:b w:val="0"/>
          <w:bCs w:val="0"/>
          <w:sz w:val="24"/>
          <w:szCs w:val="24"/>
          <w:lang w:val="en-US" w:eastAsia="zh-CN"/>
        </w:rPr>
        <w:t xml:space="preserve">格式一： </w:t>
      </w:r>
    </w:p>
    <w:p w14:paraId="764B8249">
      <w:pPr>
        <w:spacing w:before="100" w:beforeAutospacing="1" w:after="100" w:afterAutospacing="1"/>
        <w:ind w:firstLine="320"/>
        <w:jc w:val="center"/>
        <w:outlineLvl w:val="1"/>
        <w:rPr>
          <w:rFonts w:ascii="宋体" w:hAnsi="宋体" w:cs="Arial"/>
          <w:b/>
          <w:bCs/>
          <w:sz w:val="30"/>
          <w:szCs w:val="30"/>
        </w:rPr>
      </w:pPr>
      <w:bookmarkStart w:id="19" w:name="_Toc27339"/>
      <w:bookmarkStart w:id="20" w:name="_Toc30060"/>
      <w:bookmarkStart w:id="21" w:name="_Toc21390"/>
      <w:r>
        <w:rPr>
          <w:rFonts w:hint="eastAsia" w:ascii="宋体" w:hAnsi="宋体" w:cs="宋体"/>
          <w:b/>
          <w:bCs/>
          <w:sz w:val="30"/>
          <w:szCs w:val="30"/>
          <w:lang w:eastAsia="zh-CN"/>
        </w:rPr>
        <w:t>台州市立医院迁建二期工程导向标识</w:t>
      </w:r>
      <w:r>
        <w:rPr>
          <w:rFonts w:hint="eastAsia" w:ascii="宋体" w:hAnsi="宋体" w:cs="宋体"/>
          <w:b/>
          <w:bCs/>
          <w:sz w:val="30"/>
          <w:szCs w:val="30"/>
          <w:lang w:val="en-US" w:eastAsia="zh-CN"/>
        </w:rPr>
        <w:t>市场咨询调研</w:t>
      </w:r>
      <w:r>
        <w:rPr>
          <w:rFonts w:hint="eastAsia" w:ascii="宋体" w:hAnsi="宋体" w:cs="Arial"/>
          <w:b/>
          <w:bCs/>
          <w:sz w:val="30"/>
          <w:szCs w:val="30"/>
        </w:rPr>
        <w:t>函</w:t>
      </w:r>
      <w:bookmarkEnd w:id="19"/>
      <w:bookmarkEnd w:id="20"/>
      <w:bookmarkEnd w:id="21"/>
    </w:p>
    <w:p w14:paraId="1A8BC118">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p>
    <w:p w14:paraId="525591D1">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台州市立医院迁建二期工程导向标识</w:t>
      </w:r>
      <w:r>
        <w:rPr>
          <w:rFonts w:hint="eastAsia" w:ascii="宋体" w:hAnsi="宋体"/>
          <w:szCs w:val="21"/>
        </w:rPr>
        <w:t>（项目名称）</w:t>
      </w:r>
      <w:r>
        <w:rPr>
          <w:rFonts w:hint="eastAsia" w:ascii="宋体" w:hAnsi="宋体"/>
          <w:szCs w:val="21"/>
          <w:lang w:eastAsia="zh-CN"/>
        </w:rPr>
        <w:t>市场咨询调研</w:t>
      </w:r>
      <w:r>
        <w:rPr>
          <w:rFonts w:hint="eastAsia" w:ascii="宋体" w:hAnsi="宋体"/>
          <w:szCs w:val="21"/>
        </w:rPr>
        <w:t>文件，经考察现场和研究上述</w:t>
      </w:r>
      <w:r>
        <w:rPr>
          <w:rFonts w:hint="eastAsia" w:ascii="宋体" w:hAnsi="宋体"/>
          <w:szCs w:val="21"/>
          <w:lang w:eastAsia="zh-CN"/>
        </w:rPr>
        <w:t>市场咨询调研</w:t>
      </w:r>
      <w:r>
        <w:rPr>
          <w:rFonts w:hint="eastAsia" w:ascii="宋体" w:hAnsi="宋体"/>
          <w:szCs w:val="21"/>
        </w:rPr>
        <w:t>文件后，在全部同意</w:t>
      </w:r>
      <w:r>
        <w:rPr>
          <w:rFonts w:hint="eastAsia" w:ascii="宋体" w:hAnsi="宋体"/>
          <w:szCs w:val="21"/>
          <w:lang w:eastAsia="zh-CN"/>
        </w:rPr>
        <w:t>市场咨询调研</w:t>
      </w:r>
      <w:r>
        <w:rPr>
          <w:rFonts w:hint="eastAsia" w:ascii="宋体" w:hAnsi="宋体"/>
          <w:szCs w:val="21"/>
        </w:rPr>
        <w:t xml:space="preserve">文件内容前提下，我方保证： </w:t>
      </w:r>
    </w:p>
    <w:p w14:paraId="1112D30C">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14:paraId="59F83F48">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的深化设计、制造、供货、运输装卸、安装、</w:t>
      </w:r>
    </w:p>
    <w:p w14:paraId="6CBE9300">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14:paraId="001628A7">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p>
    <w:p w14:paraId="0DBAE8BD">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14:paraId="09901052">
      <w:pPr>
        <w:spacing w:line="360" w:lineRule="auto"/>
        <w:ind w:firstLine="420" w:firstLineChars="200"/>
        <w:rPr>
          <w:rFonts w:hint="eastAsia" w:ascii="宋体" w:hAnsi="宋体"/>
          <w:szCs w:val="21"/>
        </w:rPr>
      </w:pPr>
      <w:r>
        <w:rPr>
          <w:rFonts w:hint="eastAsia" w:ascii="宋体" w:hAnsi="宋体"/>
          <w:szCs w:val="21"/>
        </w:rPr>
        <w:t>4、人员设备按本</w:t>
      </w:r>
      <w:r>
        <w:rPr>
          <w:rFonts w:hint="eastAsia" w:ascii="宋体" w:hAnsi="宋体"/>
          <w:szCs w:val="21"/>
          <w:lang w:eastAsia="zh-CN"/>
        </w:rPr>
        <w:t>市场咨询调研</w:t>
      </w:r>
      <w:r>
        <w:rPr>
          <w:rFonts w:hint="eastAsia" w:ascii="宋体" w:hAnsi="宋体"/>
          <w:szCs w:val="21"/>
        </w:rPr>
        <w:t>文件的部署及时到位。</w:t>
      </w:r>
    </w:p>
    <w:p w14:paraId="3266B533">
      <w:pPr>
        <w:pStyle w:val="27"/>
        <w:spacing w:line="400" w:lineRule="exact"/>
        <w:ind w:firstLine="420"/>
        <w:rPr>
          <w:rFonts w:hint="eastAsia" w:eastAsia="宋体"/>
          <w:lang w:val="en-US" w:eastAsia="zh-CN"/>
        </w:rPr>
      </w:pPr>
      <w:r>
        <w:rPr>
          <w:rFonts w:hint="eastAsia" w:hAnsi="宋体"/>
          <w:szCs w:val="21"/>
          <w:lang w:val="en-US" w:eastAsia="zh-CN"/>
        </w:rPr>
        <w:t>5、</w:t>
      </w:r>
      <w:r>
        <w:rPr>
          <w:rFonts w:hint="eastAsia"/>
        </w:rPr>
        <w:t>对</w:t>
      </w:r>
      <w:r>
        <w:rPr>
          <w:rFonts w:hint="eastAsia"/>
          <w:lang w:eastAsia="zh-CN"/>
        </w:rPr>
        <w:t>市场咨询调研</w:t>
      </w:r>
      <w:r>
        <w:rPr>
          <w:rFonts w:hint="eastAsia"/>
          <w:lang w:val="en-US" w:eastAsia="zh-CN"/>
        </w:rPr>
        <w:t>提供的</w:t>
      </w:r>
      <w:r>
        <w:rPr>
          <w:rFonts w:hint="eastAsia"/>
        </w:rPr>
        <w:t>文件中涉及到的专利负责，并保证不伤害</w:t>
      </w:r>
      <w:r>
        <w:rPr>
          <w:rFonts w:hint="eastAsia"/>
          <w:lang w:val="en-US" w:eastAsia="zh-CN"/>
        </w:rPr>
        <w:t>贵</w:t>
      </w:r>
      <w:r>
        <w:rPr>
          <w:rFonts w:hint="eastAsia"/>
        </w:rPr>
        <w:t>的利益。在法律范围内，所有文字、商标和技术侵权造成的相关费用，</w:t>
      </w:r>
      <w:r>
        <w:rPr>
          <w:rFonts w:hint="eastAsia"/>
          <w:lang w:val="en-US" w:eastAsia="zh-CN"/>
        </w:rPr>
        <w:t>贵方</w:t>
      </w:r>
      <w:r>
        <w:rPr>
          <w:rFonts w:hint="eastAsia"/>
        </w:rPr>
        <w:t>概不负责。</w:t>
      </w:r>
      <w:r>
        <w:rPr>
          <w:rFonts w:hint="eastAsia" w:ascii="宋体" w:hAnsi="Courier New"/>
          <w:szCs w:val="21"/>
          <w:lang w:val="en-US" w:eastAsia="zh-CN"/>
        </w:rPr>
        <w:t>同时提供的深化设计等方案</w:t>
      </w:r>
      <w:r>
        <w:rPr>
          <w:rFonts w:hint="eastAsia"/>
          <w:szCs w:val="21"/>
          <w:lang w:val="en-US" w:eastAsia="zh-CN"/>
        </w:rPr>
        <w:t>，贵方</w:t>
      </w:r>
      <w:r>
        <w:rPr>
          <w:rFonts w:hint="eastAsia" w:ascii="宋体" w:hAnsi="Courier New"/>
          <w:szCs w:val="21"/>
          <w:lang w:val="en-US" w:eastAsia="zh-CN"/>
        </w:rPr>
        <w:t>有权根据需要</w:t>
      </w:r>
      <w:r>
        <w:rPr>
          <w:rFonts w:hint="eastAsia"/>
          <w:szCs w:val="21"/>
          <w:lang w:val="en-US" w:eastAsia="zh-CN"/>
        </w:rPr>
        <w:t>在今后</w:t>
      </w:r>
      <w:r>
        <w:rPr>
          <w:rFonts w:hint="eastAsia" w:ascii="宋体" w:hAnsi="Courier New"/>
          <w:szCs w:val="21"/>
          <w:lang w:val="en-US" w:eastAsia="zh-CN"/>
        </w:rPr>
        <w:t>无偿予以应用。</w:t>
      </w:r>
    </w:p>
    <w:p w14:paraId="7AA23CE9">
      <w:pPr>
        <w:pStyle w:val="20"/>
        <w:rPr>
          <w:rFonts w:hint="eastAsia" w:eastAsia="宋体"/>
          <w:lang w:val="en-US" w:eastAsia="zh-CN"/>
        </w:rPr>
      </w:pPr>
    </w:p>
    <w:p w14:paraId="0390859A">
      <w:pPr>
        <w:spacing w:line="360" w:lineRule="auto"/>
        <w:ind w:firstLine="420" w:firstLineChars="200"/>
        <w:rPr>
          <w:rFonts w:ascii="宋体" w:hAnsi="宋体"/>
          <w:szCs w:val="21"/>
        </w:rPr>
      </w:pPr>
      <w:r>
        <w:rPr>
          <w:rFonts w:hint="eastAsia" w:ascii="宋体" w:hAnsi="宋体"/>
          <w:szCs w:val="21"/>
        </w:rPr>
        <w:t>二、如果我方</w:t>
      </w:r>
      <w:r>
        <w:rPr>
          <w:rFonts w:hint="eastAsia" w:ascii="宋体" w:hAnsi="宋体"/>
          <w:szCs w:val="21"/>
          <w:lang w:val="en-US" w:eastAsia="zh-CN"/>
        </w:rPr>
        <w:t>今后</w:t>
      </w:r>
      <w:r>
        <w:rPr>
          <w:rFonts w:hint="eastAsia" w:ascii="宋体" w:hAnsi="宋体"/>
          <w:szCs w:val="21"/>
        </w:rPr>
        <w:t>中标，我方将按照</w:t>
      </w:r>
      <w:r>
        <w:rPr>
          <w:rFonts w:hint="eastAsia" w:ascii="宋体" w:hAnsi="宋体"/>
          <w:szCs w:val="21"/>
          <w:lang w:eastAsia="zh-CN"/>
        </w:rPr>
        <w:t>市场咨询调研</w:t>
      </w:r>
      <w:r>
        <w:rPr>
          <w:rFonts w:hint="eastAsia" w:ascii="宋体" w:hAnsi="宋体"/>
          <w:szCs w:val="21"/>
        </w:rPr>
        <w:t>文件规定提交履约担保，共同地和分别地承担责任。</w:t>
      </w:r>
    </w:p>
    <w:p w14:paraId="55E40387">
      <w:pPr>
        <w:spacing w:line="360" w:lineRule="auto"/>
        <w:ind w:firstLine="464" w:firstLineChars="221"/>
        <w:rPr>
          <w:rFonts w:ascii="宋体" w:hAnsi="宋体"/>
          <w:szCs w:val="21"/>
        </w:rPr>
      </w:pPr>
      <w:r>
        <w:rPr>
          <w:rFonts w:hint="eastAsia" w:ascii="宋体" w:hAnsi="宋体"/>
          <w:szCs w:val="21"/>
        </w:rPr>
        <w:t>三、</w:t>
      </w:r>
      <w:r>
        <w:rPr>
          <w:rFonts w:hint="eastAsia" w:ascii="宋体" w:hAnsi="宋体"/>
          <w:szCs w:val="21"/>
          <w:lang w:val="en-US" w:eastAsia="zh-CN"/>
        </w:rPr>
        <w:t>如果我方今后中标，</w:t>
      </w:r>
      <w:r>
        <w:rPr>
          <w:rFonts w:hint="eastAsia" w:ascii="宋体" w:hAnsi="宋体"/>
          <w:szCs w:val="21"/>
        </w:rPr>
        <w:t>除非另外达成协议并生效，</w:t>
      </w:r>
      <w:r>
        <w:rPr>
          <w:rFonts w:hint="eastAsia" w:ascii="宋体" w:hAnsi="宋体"/>
          <w:szCs w:val="21"/>
          <w:lang w:val="en-US" w:eastAsia="zh-CN"/>
        </w:rPr>
        <w:t>贵方</w:t>
      </w:r>
      <w:r>
        <w:rPr>
          <w:rFonts w:hint="eastAsia" w:ascii="宋体" w:hAnsi="宋体"/>
          <w:szCs w:val="21"/>
        </w:rPr>
        <w:t>的中标通知书和本</w:t>
      </w:r>
      <w:r>
        <w:rPr>
          <w:rFonts w:hint="eastAsia" w:ascii="宋体" w:hAnsi="宋体"/>
          <w:szCs w:val="21"/>
          <w:lang w:eastAsia="zh-CN"/>
        </w:rPr>
        <w:t>市场咨询调研</w:t>
      </w:r>
      <w:r>
        <w:rPr>
          <w:rFonts w:hint="eastAsia" w:ascii="宋体" w:hAnsi="宋体"/>
          <w:szCs w:val="21"/>
        </w:rPr>
        <w:t>文件将构成约束我们双方的合同。</w:t>
      </w:r>
    </w:p>
    <w:p w14:paraId="590589FC">
      <w:pPr>
        <w:spacing w:line="360" w:lineRule="auto"/>
        <w:ind w:firstLine="420" w:firstLineChars="200"/>
        <w:outlineLvl w:val="9"/>
        <w:rPr>
          <w:rFonts w:ascii="宋体" w:hAnsi="宋体"/>
          <w:szCs w:val="21"/>
        </w:rPr>
      </w:pPr>
      <w:r>
        <w:rPr>
          <w:rFonts w:hint="eastAsia" w:ascii="宋体" w:hAnsi="宋体"/>
          <w:szCs w:val="21"/>
        </w:rPr>
        <w:t>四、我方的</w:t>
      </w:r>
      <w:r>
        <w:rPr>
          <w:rFonts w:hint="eastAsia" w:ascii="宋体" w:hAnsi="宋体"/>
          <w:szCs w:val="21"/>
          <w:lang w:eastAsia="zh-CN"/>
        </w:rPr>
        <w:t>市场咨询调研</w:t>
      </w:r>
      <w:r>
        <w:rPr>
          <w:rFonts w:hint="eastAsia" w:ascii="宋体" w:hAnsi="宋体"/>
          <w:szCs w:val="21"/>
        </w:rPr>
        <w:t>担保已按</w:t>
      </w:r>
      <w:r>
        <w:rPr>
          <w:rFonts w:hint="eastAsia" w:ascii="宋体" w:hAnsi="宋体"/>
          <w:szCs w:val="21"/>
          <w:lang w:eastAsia="zh-CN"/>
        </w:rPr>
        <w:t>市场咨询调研</w:t>
      </w:r>
      <w:r>
        <w:rPr>
          <w:rFonts w:hint="eastAsia" w:ascii="宋体" w:hAnsi="宋体"/>
          <w:szCs w:val="21"/>
        </w:rPr>
        <w:t>文件的要求递交。</w:t>
      </w:r>
    </w:p>
    <w:p w14:paraId="062C5C41">
      <w:pPr>
        <w:spacing w:line="360" w:lineRule="auto"/>
        <w:ind w:firstLine="210"/>
        <w:jc w:val="right"/>
        <w:rPr>
          <w:rFonts w:ascii="宋体" w:hAnsi="宋体"/>
          <w:szCs w:val="21"/>
        </w:rPr>
      </w:pPr>
      <w:r>
        <w:rPr>
          <w:rFonts w:hint="eastAsia" w:ascii="宋体" w:hAnsi="宋体"/>
          <w:szCs w:val="21"/>
        </w:rPr>
        <w:t xml:space="preserve">                                          </w:t>
      </w:r>
    </w:p>
    <w:p w14:paraId="4C7AADEC">
      <w:pPr>
        <w:spacing w:line="36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14:paraId="10B6B2C1">
      <w:pPr>
        <w:spacing w:line="360" w:lineRule="auto"/>
        <w:ind w:firstLine="210"/>
        <w:rPr>
          <w:rFonts w:ascii="宋体" w:hAnsi="宋体"/>
          <w:szCs w:val="21"/>
        </w:rPr>
      </w:pPr>
      <w:r>
        <w:rPr>
          <w:rFonts w:hint="eastAsia" w:ascii="宋体" w:hAnsi="宋体"/>
          <w:szCs w:val="21"/>
        </w:rPr>
        <w:t xml:space="preserve">法定代表人（签字或盖章）：                          </w:t>
      </w:r>
    </w:p>
    <w:p w14:paraId="52BD75F3">
      <w:pPr>
        <w:spacing w:line="360" w:lineRule="auto"/>
        <w:ind w:firstLine="210"/>
        <w:jc w:val="right"/>
        <w:rPr>
          <w:rFonts w:hint="eastAsia" w:ascii="宋体" w:hAnsi="宋体"/>
          <w:szCs w:val="21"/>
        </w:rPr>
      </w:pPr>
    </w:p>
    <w:p w14:paraId="57710A4B">
      <w:pPr>
        <w:spacing w:line="360" w:lineRule="auto"/>
        <w:ind w:firstLine="210"/>
        <w:jc w:val="right"/>
        <w:rPr>
          <w:rFonts w:ascii="仿宋_GB2312" w:hAnsi="仿宋_GB2312" w:eastAsia="仿宋_GB2312"/>
          <w:szCs w:val="21"/>
        </w:rPr>
      </w:pPr>
      <w:r>
        <w:rPr>
          <w:rFonts w:hint="eastAsia" w:ascii="宋体" w:hAnsi="宋体"/>
          <w:szCs w:val="21"/>
        </w:rPr>
        <w:t>日期：   年   月   日</w:t>
      </w:r>
    </w:p>
    <w:p w14:paraId="2A3A8503">
      <w:pPr>
        <w:pStyle w:val="4"/>
        <w:spacing w:before="120" w:after="120" w:line="400" w:lineRule="exact"/>
        <w:ind w:firstLine="240"/>
        <w:outlineLvl w:val="9"/>
        <w:rPr>
          <w:rFonts w:hint="eastAsia" w:hAnsi="宋体"/>
        </w:rPr>
      </w:pPr>
      <w:r>
        <w:rPr>
          <w:rFonts w:hint="eastAsia" w:hAnsi="宋体"/>
        </w:rPr>
        <w:t xml:space="preserve"> </w:t>
      </w:r>
    </w:p>
    <w:p w14:paraId="0B9B4185">
      <w:pPr>
        <w:rPr>
          <w:rFonts w:hint="eastAsia" w:hAnsi="宋体"/>
        </w:rPr>
      </w:pPr>
      <w:r>
        <w:rPr>
          <w:rFonts w:hint="eastAsia" w:hAnsi="宋体"/>
        </w:rPr>
        <w:br w:type="page"/>
      </w:r>
    </w:p>
    <w:p w14:paraId="14F93337">
      <w:pPr>
        <w:pStyle w:val="5"/>
        <w:spacing w:before="120" w:after="120" w:line="400" w:lineRule="exact"/>
        <w:ind w:left="0" w:leftChars="0" w:firstLine="0" w:firstLineChars="0"/>
        <w:outlineLvl w:val="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格式二：</w:t>
      </w:r>
    </w:p>
    <w:p w14:paraId="28467D14">
      <w:pPr>
        <w:pStyle w:val="5"/>
        <w:spacing w:before="120" w:after="120" w:line="400" w:lineRule="exact"/>
        <w:ind w:firstLine="240"/>
        <w:outlineLvl w:val="0"/>
        <w:rPr>
          <w:b/>
          <w:sz w:val="36"/>
          <w:szCs w:val="36"/>
        </w:rPr>
      </w:pPr>
      <w:r>
        <w:rPr>
          <w:rFonts w:hint="eastAsia" w:ascii="宋体" w:hAnsi="宋体" w:cs="宋体"/>
          <w:b w:val="0"/>
          <w:bCs w:val="0"/>
          <w:sz w:val="24"/>
          <w:szCs w:val="24"/>
          <w:lang w:val="en-US" w:eastAsia="zh-CN"/>
        </w:rPr>
        <w:t xml:space="preserve">          </w:t>
      </w:r>
      <w:r>
        <w:rPr>
          <w:rFonts w:hint="eastAsia"/>
          <w:b/>
          <w:sz w:val="36"/>
          <w:szCs w:val="36"/>
          <w:lang w:val="en-US" w:eastAsia="zh-CN"/>
        </w:rPr>
        <w:t>市场咨询调研</w:t>
      </w:r>
      <w:r>
        <w:rPr>
          <w:rFonts w:hint="eastAsia"/>
          <w:b/>
          <w:sz w:val="36"/>
          <w:szCs w:val="36"/>
        </w:rPr>
        <w:t>报价表</w:t>
      </w:r>
      <w:bookmarkEnd w:id="16"/>
      <w:bookmarkEnd w:id="17"/>
      <w:bookmarkEnd w:id="18"/>
    </w:p>
    <w:p w14:paraId="366EE089">
      <w:pPr>
        <w:snapToGrid w:val="0"/>
        <w:spacing w:before="120" w:beforeLines="50" w:line="360" w:lineRule="auto"/>
        <w:ind w:left="359" w:right="-617" w:rightChars="-294" w:firstLine="211"/>
        <w:rPr>
          <w:rFonts w:hint="eastAsia" w:ascii="宋体" w:hAnsi="宋体"/>
          <w:b/>
          <w:szCs w:val="21"/>
          <w:lang w:val="en-US" w:eastAsia="zh-CN"/>
        </w:rPr>
      </w:pPr>
    </w:p>
    <w:p w14:paraId="33041E47">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台州市立医院迁建工程二期</w:t>
      </w:r>
      <w:r>
        <w:rPr>
          <w:rFonts w:hint="eastAsia" w:ascii="宋体" w:hAnsi="宋体"/>
          <w:b/>
          <w:szCs w:val="21"/>
          <w:u w:val="none"/>
          <w:lang w:val="en-US" w:eastAsia="zh-CN"/>
        </w:rPr>
        <w:t>标识标牌市场咨询调研</w:t>
      </w:r>
      <w:r>
        <w:rPr>
          <w:rFonts w:hint="eastAsia" w:ascii="宋体" w:hAnsi="宋体"/>
          <w:b/>
          <w:szCs w:val="21"/>
          <w:lang w:val="en-US" w:eastAsia="zh-CN"/>
        </w:rPr>
        <w:t>一览表》</w:t>
      </w:r>
    </w:p>
    <w:p w14:paraId="0BF6200F">
      <w:pPr>
        <w:pStyle w:val="20"/>
        <w:rPr>
          <w:rFonts w:hint="eastAsia" w:ascii="宋体" w:hAnsi="宋体"/>
          <w:b/>
          <w:szCs w:val="21"/>
          <w:lang w:val="en-US" w:eastAsia="zh-CN"/>
        </w:rPr>
      </w:pPr>
    </w:p>
    <w:p w14:paraId="7F09F662">
      <w:pPr>
        <w:rPr>
          <w:rFonts w:hint="eastAsia" w:ascii="宋体" w:hAnsi="宋体"/>
          <w:b/>
          <w:szCs w:val="21"/>
          <w:lang w:val="en-US" w:eastAsia="zh-CN"/>
        </w:rPr>
      </w:pPr>
    </w:p>
    <w:p w14:paraId="323FC63D">
      <w:pPr>
        <w:pStyle w:val="20"/>
        <w:rPr>
          <w:rFonts w:hint="eastAsia" w:ascii="宋体" w:hAnsi="宋体"/>
          <w:b/>
          <w:szCs w:val="21"/>
          <w:lang w:val="en-US" w:eastAsia="zh-CN"/>
        </w:rPr>
      </w:pPr>
    </w:p>
    <w:p w14:paraId="07FF3FA9">
      <w:pPr>
        <w:rPr>
          <w:rFonts w:hint="eastAsia" w:ascii="宋体" w:hAnsi="宋体" w:cs="宋体"/>
          <w:szCs w:val="21"/>
        </w:rPr>
      </w:pPr>
      <w:r>
        <w:rPr>
          <w:rFonts w:hint="eastAsia" w:ascii="宋体" w:hAnsi="宋体" w:cs="宋体"/>
          <w:szCs w:val="21"/>
        </w:rPr>
        <w:br w:type="page"/>
      </w:r>
    </w:p>
    <w:p w14:paraId="52E94256">
      <w:pPr>
        <w:pStyle w:val="5"/>
        <w:spacing w:before="120" w:after="120" w:line="400" w:lineRule="exact"/>
        <w:ind w:firstLine="240"/>
        <w:outlineLvl w:val="0"/>
        <w:rPr>
          <w:rFonts w:hint="default" w:ascii="宋体" w:hAnsi="宋体" w:cs="宋体"/>
          <w:b w:val="0"/>
          <w:bCs w:val="0"/>
          <w:sz w:val="24"/>
          <w:szCs w:val="24"/>
          <w:lang w:val="en-US" w:eastAsia="zh-CN"/>
        </w:rPr>
      </w:pPr>
      <w:bookmarkStart w:id="22" w:name="_Toc4706"/>
      <w:bookmarkStart w:id="23" w:name="_Toc10156"/>
      <w:bookmarkStart w:id="24" w:name="_Toc12361"/>
      <w:r>
        <w:rPr>
          <w:rFonts w:hint="eastAsia" w:ascii="宋体" w:hAnsi="宋体" w:cs="宋体"/>
          <w:b w:val="0"/>
          <w:bCs w:val="0"/>
          <w:sz w:val="24"/>
          <w:szCs w:val="24"/>
          <w:lang w:val="en-US" w:eastAsia="zh-CN"/>
        </w:rPr>
        <w:t>格式三：</w:t>
      </w:r>
    </w:p>
    <w:p w14:paraId="324996DF">
      <w:pPr>
        <w:ind w:firstLine="210"/>
        <w:outlineLvl w:val="0"/>
        <w:rPr>
          <w:bCs w:val="0"/>
          <w:sz w:val="36"/>
          <w:szCs w:val="36"/>
        </w:rPr>
      </w:pPr>
      <w:r>
        <w:rPr>
          <w:rFonts w:ascii="宋体" w:hAnsi="宋体"/>
          <w:szCs w:val="21"/>
        </w:rPr>
        <w:t>（</w:t>
      </w:r>
      <w:r>
        <w:rPr>
          <w:rFonts w:hint="eastAsia" w:ascii="宋体" w:hAnsi="宋体"/>
          <w:szCs w:val="21"/>
          <w:lang w:eastAsia="zh-CN"/>
        </w:rPr>
        <w:t>市场咨询调研</w:t>
      </w:r>
      <w:r>
        <w:rPr>
          <w:rFonts w:hint="eastAsia" w:ascii="宋体" w:hAnsi="宋体"/>
          <w:szCs w:val="21"/>
        </w:rPr>
        <w:t>人须提供的数据</w:t>
      </w:r>
      <w:r>
        <w:rPr>
          <w:rFonts w:ascii="宋体" w:hAnsi="宋体"/>
          <w:szCs w:val="21"/>
        </w:rPr>
        <w:t>）</w:t>
      </w:r>
      <w:bookmarkStart w:id="25" w:name="_Toc321055145"/>
      <w:bookmarkStart w:id="26" w:name="_Toc312073594"/>
      <w:r>
        <w:rPr>
          <w:rFonts w:hint="eastAsia" w:ascii="宋体" w:hAnsi="宋体"/>
          <w:szCs w:val="21"/>
          <w:lang w:val="en-US" w:eastAsia="zh-CN"/>
        </w:rPr>
        <w:t xml:space="preserve">         </w:t>
      </w:r>
      <w:r>
        <w:rPr>
          <w:rFonts w:hint="eastAsia"/>
          <w:bCs w:val="0"/>
          <w:sz w:val="36"/>
          <w:szCs w:val="36"/>
        </w:rPr>
        <w:t>技术响应表</w:t>
      </w:r>
      <w:bookmarkEnd w:id="22"/>
      <w:bookmarkEnd w:id="23"/>
      <w:bookmarkEnd w:id="24"/>
      <w:bookmarkEnd w:id="25"/>
      <w:bookmarkEnd w:id="26"/>
    </w:p>
    <w:tbl>
      <w:tblPr>
        <w:tblStyle w:val="16"/>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14:paraId="176E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14:paraId="2430BC7A">
            <w:pPr>
              <w:ind w:firstLine="210"/>
              <w:jc w:val="center"/>
              <w:rPr>
                <w:rFonts w:ascii="宋体"/>
                <w:szCs w:val="21"/>
              </w:rPr>
            </w:pPr>
            <w:r>
              <w:rPr>
                <w:rFonts w:hint="eastAsia" w:ascii="宋体"/>
                <w:szCs w:val="21"/>
              </w:rPr>
              <w:t xml:space="preserve">   　　</w:t>
            </w:r>
            <w:r>
              <w:rPr>
                <w:rFonts w:hint="eastAsia" w:ascii="宋体"/>
                <w:szCs w:val="21"/>
                <w:lang w:eastAsia="zh-CN"/>
              </w:rPr>
              <w:t>市场咨询调研</w:t>
            </w:r>
            <w:r>
              <w:rPr>
                <w:rFonts w:hint="eastAsia" w:ascii="宋体"/>
                <w:szCs w:val="21"/>
              </w:rPr>
              <w:t>单位</w:t>
            </w:r>
          </w:p>
          <w:p w14:paraId="68D2DB2B">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14:paraId="53C2754C">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14:paraId="67E61F40">
            <w:pPr>
              <w:ind w:firstLine="210"/>
              <w:jc w:val="center"/>
              <w:rPr>
                <w:rFonts w:ascii="宋体"/>
                <w:szCs w:val="21"/>
              </w:rPr>
            </w:pPr>
            <w:r>
              <w:rPr>
                <w:rFonts w:hint="eastAsia" w:ascii="宋体"/>
                <w:szCs w:val="21"/>
              </w:rPr>
              <w:t>备注</w:t>
            </w:r>
          </w:p>
        </w:tc>
      </w:tr>
      <w:tr w14:paraId="406A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14:paraId="0ABBA97B">
            <w:pPr>
              <w:ind w:firstLine="210"/>
              <w:jc w:val="center"/>
              <w:rPr>
                <w:rFonts w:ascii="宋体"/>
                <w:szCs w:val="21"/>
              </w:rPr>
            </w:pPr>
          </w:p>
        </w:tc>
        <w:tc>
          <w:tcPr>
            <w:tcW w:w="3287" w:type="dxa"/>
            <w:vAlign w:val="center"/>
          </w:tcPr>
          <w:p w14:paraId="65445245">
            <w:pPr>
              <w:ind w:firstLine="210"/>
              <w:jc w:val="center"/>
              <w:rPr>
                <w:rFonts w:ascii="宋体"/>
                <w:szCs w:val="21"/>
              </w:rPr>
            </w:pPr>
          </w:p>
        </w:tc>
        <w:tc>
          <w:tcPr>
            <w:tcW w:w="1898" w:type="dxa"/>
            <w:vAlign w:val="center"/>
          </w:tcPr>
          <w:p w14:paraId="48290DC2">
            <w:pPr>
              <w:ind w:firstLine="210"/>
              <w:jc w:val="center"/>
              <w:rPr>
                <w:rFonts w:ascii="宋体"/>
                <w:szCs w:val="21"/>
              </w:rPr>
            </w:pPr>
          </w:p>
        </w:tc>
      </w:tr>
      <w:tr w14:paraId="52B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14:paraId="6989DFC9">
            <w:pPr>
              <w:ind w:firstLine="210"/>
              <w:jc w:val="center"/>
              <w:rPr>
                <w:rFonts w:ascii="宋体"/>
                <w:szCs w:val="21"/>
              </w:rPr>
            </w:pPr>
          </w:p>
        </w:tc>
        <w:tc>
          <w:tcPr>
            <w:tcW w:w="1866" w:type="dxa"/>
            <w:vAlign w:val="center"/>
          </w:tcPr>
          <w:p w14:paraId="7B6B4E6F">
            <w:pPr>
              <w:ind w:firstLine="210"/>
              <w:jc w:val="center"/>
              <w:rPr>
                <w:rFonts w:ascii="宋体"/>
                <w:szCs w:val="21"/>
              </w:rPr>
            </w:pPr>
          </w:p>
        </w:tc>
        <w:tc>
          <w:tcPr>
            <w:tcW w:w="3287" w:type="dxa"/>
            <w:vAlign w:val="center"/>
          </w:tcPr>
          <w:p w14:paraId="79DBD610">
            <w:pPr>
              <w:ind w:firstLine="210"/>
              <w:jc w:val="center"/>
              <w:rPr>
                <w:rFonts w:ascii="宋体"/>
                <w:szCs w:val="21"/>
              </w:rPr>
            </w:pPr>
          </w:p>
        </w:tc>
        <w:tc>
          <w:tcPr>
            <w:tcW w:w="1898" w:type="dxa"/>
            <w:vAlign w:val="center"/>
          </w:tcPr>
          <w:p w14:paraId="5861C4ED">
            <w:pPr>
              <w:ind w:firstLine="210"/>
              <w:jc w:val="center"/>
              <w:rPr>
                <w:rFonts w:ascii="宋体"/>
                <w:szCs w:val="21"/>
              </w:rPr>
            </w:pPr>
          </w:p>
        </w:tc>
      </w:tr>
      <w:tr w14:paraId="5413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14:paraId="26410B11">
            <w:pPr>
              <w:ind w:firstLine="210"/>
              <w:jc w:val="center"/>
              <w:rPr>
                <w:rFonts w:ascii="宋体"/>
                <w:szCs w:val="21"/>
              </w:rPr>
            </w:pPr>
          </w:p>
        </w:tc>
        <w:tc>
          <w:tcPr>
            <w:tcW w:w="1866" w:type="dxa"/>
            <w:vAlign w:val="center"/>
          </w:tcPr>
          <w:p w14:paraId="13377F88">
            <w:pPr>
              <w:ind w:firstLine="210"/>
              <w:jc w:val="center"/>
              <w:rPr>
                <w:rFonts w:ascii="宋体"/>
                <w:szCs w:val="21"/>
              </w:rPr>
            </w:pPr>
          </w:p>
        </w:tc>
        <w:tc>
          <w:tcPr>
            <w:tcW w:w="3287" w:type="dxa"/>
            <w:vAlign w:val="center"/>
          </w:tcPr>
          <w:p w14:paraId="01D16427">
            <w:pPr>
              <w:ind w:firstLine="210"/>
              <w:jc w:val="center"/>
              <w:rPr>
                <w:rFonts w:ascii="宋体"/>
                <w:szCs w:val="21"/>
              </w:rPr>
            </w:pPr>
          </w:p>
        </w:tc>
        <w:tc>
          <w:tcPr>
            <w:tcW w:w="1898" w:type="dxa"/>
            <w:vAlign w:val="center"/>
          </w:tcPr>
          <w:p w14:paraId="242EABFD">
            <w:pPr>
              <w:ind w:firstLine="210"/>
              <w:jc w:val="center"/>
              <w:rPr>
                <w:rFonts w:ascii="宋体"/>
                <w:szCs w:val="21"/>
              </w:rPr>
            </w:pPr>
          </w:p>
        </w:tc>
      </w:tr>
      <w:tr w14:paraId="5A16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14:paraId="24F81033">
            <w:pPr>
              <w:ind w:firstLine="210"/>
              <w:jc w:val="center"/>
              <w:rPr>
                <w:rFonts w:ascii="宋体"/>
                <w:szCs w:val="21"/>
              </w:rPr>
            </w:pPr>
          </w:p>
        </w:tc>
        <w:tc>
          <w:tcPr>
            <w:tcW w:w="1866" w:type="dxa"/>
            <w:vAlign w:val="center"/>
          </w:tcPr>
          <w:p w14:paraId="2E273889">
            <w:pPr>
              <w:ind w:firstLine="210"/>
              <w:jc w:val="center"/>
              <w:rPr>
                <w:rFonts w:ascii="宋体"/>
                <w:szCs w:val="21"/>
              </w:rPr>
            </w:pPr>
          </w:p>
        </w:tc>
        <w:tc>
          <w:tcPr>
            <w:tcW w:w="3287" w:type="dxa"/>
            <w:vAlign w:val="center"/>
          </w:tcPr>
          <w:p w14:paraId="2B08B5DF">
            <w:pPr>
              <w:ind w:firstLine="210"/>
              <w:jc w:val="center"/>
              <w:rPr>
                <w:rFonts w:ascii="宋体"/>
                <w:szCs w:val="21"/>
              </w:rPr>
            </w:pPr>
          </w:p>
        </w:tc>
        <w:tc>
          <w:tcPr>
            <w:tcW w:w="1898" w:type="dxa"/>
            <w:vAlign w:val="center"/>
          </w:tcPr>
          <w:p w14:paraId="048951AB">
            <w:pPr>
              <w:ind w:firstLine="210"/>
              <w:jc w:val="center"/>
              <w:rPr>
                <w:rFonts w:ascii="宋体"/>
                <w:szCs w:val="21"/>
              </w:rPr>
            </w:pPr>
          </w:p>
        </w:tc>
      </w:tr>
      <w:tr w14:paraId="7C13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14:paraId="49232693">
            <w:pPr>
              <w:ind w:firstLine="210"/>
              <w:jc w:val="center"/>
              <w:rPr>
                <w:rFonts w:ascii="宋体"/>
                <w:szCs w:val="21"/>
              </w:rPr>
            </w:pPr>
          </w:p>
        </w:tc>
        <w:tc>
          <w:tcPr>
            <w:tcW w:w="1866" w:type="dxa"/>
            <w:vAlign w:val="center"/>
          </w:tcPr>
          <w:p w14:paraId="24E530F8">
            <w:pPr>
              <w:ind w:firstLine="210"/>
              <w:jc w:val="center"/>
              <w:rPr>
                <w:rFonts w:ascii="宋体"/>
                <w:szCs w:val="21"/>
              </w:rPr>
            </w:pPr>
          </w:p>
        </w:tc>
        <w:tc>
          <w:tcPr>
            <w:tcW w:w="3287" w:type="dxa"/>
            <w:vAlign w:val="center"/>
          </w:tcPr>
          <w:p w14:paraId="31E52E91">
            <w:pPr>
              <w:ind w:firstLine="210"/>
              <w:jc w:val="center"/>
              <w:rPr>
                <w:rFonts w:ascii="宋体"/>
                <w:szCs w:val="21"/>
              </w:rPr>
            </w:pPr>
          </w:p>
        </w:tc>
        <w:tc>
          <w:tcPr>
            <w:tcW w:w="1898" w:type="dxa"/>
            <w:vAlign w:val="center"/>
          </w:tcPr>
          <w:p w14:paraId="661E9FF8">
            <w:pPr>
              <w:ind w:firstLine="210"/>
              <w:jc w:val="center"/>
              <w:rPr>
                <w:rFonts w:ascii="宋体"/>
                <w:szCs w:val="21"/>
              </w:rPr>
            </w:pPr>
          </w:p>
        </w:tc>
      </w:tr>
      <w:tr w14:paraId="019C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14:paraId="19FBB2A7">
            <w:pPr>
              <w:ind w:firstLine="210"/>
              <w:jc w:val="center"/>
              <w:rPr>
                <w:rFonts w:ascii="宋体"/>
                <w:szCs w:val="21"/>
              </w:rPr>
            </w:pPr>
          </w:p>
        </w:tc>
        <w:tc>
          <w:tcPr>
            <w:tcW w:w="1866" w:type="dxa"/>
            <w:vAlign w:val="center"/>
          </w:tcPr>
          <w:p w14:paraId="6A35659D">
            <w:pPr>
              <w:ind w:firstLine="210"/>
              <w:jc w:val="center"/>
              <w:rPr>
                <w:rFonts w:ascii="宋体"/>
                <w:szCs w:val="21"/>
              </w:rPr>
            </w:pPr>
          </w:p>
        </w:tc>
        <w:tc>
          <w:tcPr>
            <w:tcW w:w="3287" w:type="dxa"/>
            <w:vAlign w:val="center"/>
          </w:tcPr>
          <w:p w14:paraId="40515D5C">
            <w:pPr>
              <w:ind w:firstLine="210"/>
              <w:jc w:val="center"/>
              <w:rPr>
                <w:rFonts w:ascii="宋体"/>
                <w:szCs w:val="21"/>
              </w:rPr>
            </w:pPr>
          </w:p>
        </w:tc>
        <w:tc>
          <w:tcPr>
            <w:tcW w:w="1898" w:type="dxa"/>
            <w:vAlign w:val="center"/>
          </w:tcPr>
          <w:p w14:paraId="6BB5E787">
            <w:pPr>
              <w:ind w:firstLine="210"/>
              <w:jc w:val="center"/>
              <w:rPr>
                <w:rFonts w:ascii="宋体"/>
                <w:szCs w:val="21"/>
              </w:rPr>
            </w:pPr>
          </w:p>
        </w:tc>
      </w:tr>
      <w:tr w14:paraId="0EB8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14:paraId="5E489749">
            <w:pPr>
              <w:ind w:firstLine="210"/>
              <w:jc w:val="center"/>
              <w:rPr>
                <w:rFonts w:ascii="宋体"/>
                <w:szCs w:val="21"/>
              </w:rPr>
            </w:pPr>
          </w:p>
        </w:tc>
        <w:tc>
          <w:tcPr>
            <w:tcW w:w="1866" w:type="dxa"/>
            <w:vAlign w:val="center"/>
          </w:tcPr>
          <w:p w14:paraId="2B6E6D14">
            <w:pPr>
              <w:ind w:firstLine="210"/>
              <w:jc w:val="center"/>
              <w:rPr>
                <w:rFonts w:ascii="宋体"/>
                <w:szCs w:val="21"/>
              </w:rPr>
            </w:pPr>
          </w:p>
        </w:tc>
        <w:tc>
          <w:tcPr>
            <w:tcW w:w="3287" w:type="dxa"/>
            <w:vAlign w:val="center"/>
          </w:tcPr>
          <w:p w14:paraId="71100F19">
            <w:pPr>
              <w:ind w:firstLine="210"/>
              <w:jc w:val="center"/>
              <w:rPr>
                <w:rFonts w:ascii="宋体"/>
                <w:szCs w:val="21"/>
              </w:rPr>
            </w:pPr>
          </w:p>
        </w:tc>
        <w:tc>
          <w:tcPr>
            <w:tcW w:w="1898" w:type="dxa"/>
            <w:vAlign w:val="center"/>
          </w:tcPr>
          <w:p w14:paraId="55DAC19B">
            <w:pPr>
              <w:ind w:firstLine="210"/>
              <w:jc w:val="center"/>
              <w:rPr>
                <w:rFonts w:ascii="宋体"/>
                <w:szCs w:val="21"/>
              </w:rPr>
            </w:pPr>
          </w:p>
        </w:tc>
      </w:tr>
      <w:tr w14:paraId="4D88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14:paraId="099BEE83">
            <w:pPr>
              <w:ind w:firstLine="210"/>
              <w:jc w:val="center"/>
              <w:rPr>
                <w:rFonts w:ascii="宋体"/>
                <w:szCs w:val="21"/>
              </w:rPr>
            </w:pPr>
          </w:p>
        </w:tc>
        <w:tc>
          <w:tcPr>
            <w:tcW w:w="1866" w:type="dxa"/>
            <w:tcBorders>
              <w:bottom w:val="single" w:color="auto" w:sz="4" w:space="0"/>
            </w:tcBorders>
            <w:vAlign w:val="center"/>
          </w:tcPr>
          <w:p w14:paraId="4EBF3837">
            <w:pPr>
              <w:ind w:firstLine="210"/>
              <w:jc w:val="center"/>
              <w:rPr>
                <w:rFonts w:ascii="宋体"/>
                <w:szCs w:val="21"/>
              </w:rPr>
            </w:pPr>
          </w:p>
        </w:tc>
        <w:tc>
          <w:tcPr>
            <w:tcW w:w="3287" w:type="dxa"/>
            <w:tcBorders>
              <w:bottom w:val="single" w:color="auto" w:sz="4" w:space="0"/>
            </w:tcBorders>
            <w:vAlign w:val="center"/>
          </w:tcPr>
          <w:p w14:paraId="042C2B05">
            <w:pPr>
              <w:ind w:firstLine="210"/>
              <w:jc w:val="center"/>
              <w:rPr>
                <w:rFonts w:ascii="宋体"/>
                <w:szCs w:val="21"/>
              </w:rPr>
            </w:pPr>
          </w:p>
        </w:tc>
        <w:tc>
          <w:tcPr>
            <w:tcW w:w="1898" w:type="dxa"/>
            <w:tcBorders>
              <w:bottom w:val="single" w:color="auto" w:sz="4" w:space="0"/>
            </w:tcBorders>
            <w:vAlign w:val="center"/>
          </w:tcPr>
          <w:p w14:paraId="6D5E8469">
            <w:pPr>
              <w:ind w:firstLine="210"/>
              <w:jc w:val="center"/>
              <w:rPr>
                <w:rFonts w:ascii="仿宋_GB2312" w:eastAsia="仿宋_GB2312"/>
                <w:szCs w:val="21"/>
              </w:rPr>
            </w:pPr>
          </w:p>
        </w:tc>
      </w:tr>
      <w:tr w14:paraId="7272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14:paraId="6C3D09A9">
            <w:pPr>
              <w:ind w:firstLine="210"/>
              <w:jc w:val="center"/>
              <w:rPr>
                <w:rFonts w:ascii="宋体"/>
                <w:szCs w:val="21"/>
              </w:rPr>
            </w:pPr>
          </w:p>
        </w:tc>
        <w:tc>
          <w:tcPr>
            <w:tcW w:w="1866" w:type="dxa"/>
            <w:tcBorders>
              <w:bottom w:val="single" w:color="auto" w:sz="4" w:space="0"/>
            </w:tcBorders>
            <w:vAlign w:val="center"/>
          </w:tcPr>
          <w:p w14:paraId="5EE3F987">
            <w:pPr>
              <w:ind w:firstLine="210"/>
              <w:jc w:val="center"/>
              <w:rPr>
                <w:rFonts w:ascii="宋体"/>
                <w:szCs w:val="21"/>
              </w:rPr>
            </w:pPr>
          </w:p>
        </w:tc>
        <w:tc>
          <w:tcPr>
            <w:tcW w:w="3287" w:type="dxa"/>
            <w:tcBorders>
              <w:bottom w:val="single" w:color="auto" w:sz="4" w:space="0"/>
            </w:tcBorders>
            <w:vAlign w:val="center"/>
          </w:tcPr>
          <w:p w14:paraId="631C48DD">
            <w:pPr>
              <w:ind w:firstLine="210"/>
              <w:jc w:val="center"/>
              <w:rPr>
                <w:rFonts w:ascii="宋体"/>
                <w:szCs w:val="21"/>
              </w:rPr>
            </w:pPr>
          </w:p>
        </w:tc>
        <w:tc>
          <w:tcPr>
            <w:tcW w:w="1898" w:type="dxa"/>
            <w:tcBorders>
              <w:bottom w:val="single" w:color="auto" w:sz="4" w:space="0"/>
            </w:tcBorders>
            <w:vAlign w:val="center"/>
          </w:tcPr>
          <w:p w14:paraId="53C08F8B">
            <w:pPr>
              <w:ind w:firstLine="210"/>
              <w:jc w:val="center"/>
              <w:rPr>
                <w:rFonts w:ascii="仿宋_GB2312" w:eastAsia="仿宋_GB2312"/>
                <w:szCs w:val="21"/>
              </w:rPr>
            </w:pPr>
          </w:p>
        </w:tc>
      </w:tr>
      <w:tr w14:paraId="06B8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14:paraId="341CBF85">
            <w:pPr>
              <w:ind w:firstLine="210"/>
              <w:jc w:val="center"/>
              <w:rPr>
                <w:rFonts w:ascii="宋体"/>
                <w:szCs w:val="21"/>
              </w:rPr>
            </w:pPr>
          </w:p>
        </w:tc>
        <w:tc>
          <w:tcPr>
            <w:tcW w:w="1866" w:type="dxa"/>
            <w:tcBorders>
              <w:bottom w:val="single" w:color="auto" w:sz="4" w:space="0"/>
            </w:tcBorders>
            <w:vAlign w:val="center"/>
          </w:tcPr>
          <w:p w14:paraId="2267C7BB">
            <w:pPr>
              <w:ind w:firstLine="210"/>
              <w:jc w:val="center"/>
              <w:rPr>
                <w:rFonts w:ascii="宋体"/>
                <w:szCs w:val="21"/>
              </w:rPr>
            </w:pPr>
          </w:p>
        </w:tc>
        <w:tc>
          <w:tcPr>
            <w:tcW w:w="3287" w:type="dxa"/>
            <w:tcBorders>
              <w:bottom w:val="single" w:color="auto" w:sz="4" w:space="0"/>
            </w:tcBorders>
            <w:vAlign w:val="center"/>
          </w:tcPr>
          <w:p w14:paraId="0D1A109D">
            <w:pPr>
              <w:ind w:firstLine="210"/>
              <w:jc w:val="center"/>
              <w:rPr>
                <w:rFonts w:ascii="宋体"/>
                <w:szCs w:val="21"/>
              </w:rPr>
            </w:pPr>
          </w:p>
        </w:tc>
        <w:tc>
          <w:tcPr>
            <w:tcW w:w="1898" w:type="dxa"/>
            <w:tcBorders>
              <w:bottom w:val="single" w:color="auto" w:sz="4" w:space="0"/>
            </w:tcBorders>
            <w:vAlign w:val="center"/>
          </w:tcPr>
          <w:p w14:paraId="6ED61CAB">
            <w:pPr>
              <w:ind w:firstLine="210"/>
              <w:jc w:val="center"/>
              <w:rPr>
                <w:rFonts w:ascii="仿宋_GB2312" w:eastAsia="仿宋_GB2312"/>
                <w:szCs w:val="21"/>
              </w:rPr>
            </w:pPr>
          </w:p>
        </w:tc>
      </w:tr>
      <w:tr w14:paraId="4EB0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14:paraId="5D9887BE">
            <w:pPr>
              <w:ind w:firstLine="210"/>
              <w:jc w:val="center"/>
              <w:rPr>
                <w:rFonts w:ascii="宋体"/>
                <w:szCs w:val="21"/>
              </w:rPr>
            </w:pPr>
          </w:p>
        </w:tc>
        <w:tc>
          <w:tcPr>
            <w:tcW w:w="1866" w:type="dxa"/>
            <w:vAlign w:val="center"/>
          </w:tcPr>
          <w:p w14:paraId="2F889797">
            <w:pPr>
              <w:ind w:firstLine="210"/>
              <w:jc w:val="center"/>
              <w:rPr>
                <w:rFonts w:ascii="宋体"/>
                <w:szCs w:val="21"/>
              </w:rPr>
            </w:pPr>
          </w:p>
        </w:tc>
        <w:tc>
          <w:tcPr>
            <w:tcW w:w="3287" w:type="dxa"/>
            <w:vAlign w:val="center"/>
          </w:tcPr>
          <w:p w14:paraId="66BFAC48">
            <w:pPr>
              <w:ind w:firstLine="210"/>
              <w:jc w:val="center"/>
              <w:rPr>
                <w:rFonts w:ascii="宋体"/>
                <w:szCs w:val="21"/>
              </w:rPr>
            </w:pPr>
          </w:p>
        </w:tc>
        <w:tc>
          <w:tcPr>
            <w:tcW w:w="1898" w:type="dxa"/>
            <w:vAlign w:val="center"/>
          </w:tcPr>
          <w:p w14:paraId="59AB7CC1">
            <w:pPr>
              <w:ind w:firstLine="210"/>
              <w:jc w:val="center"/>
              <w:rPr>
                <w:rFonts w:ascii="宋体" w:hAnsi="宋体"/>
                <w:szCs w:val="21"/>
              </w:rPr>
            </w:pPr>
          </w:p>
        </w:tc>
      </w:tr>
      <w:tr w14:paraId="0DC2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14:paraId="58E2FB2F">
            <w:pPr>
              <w:ind w:firstLine="210"/>
              <w:jc w:val="center"/>
              <w:rPr>
                <w:rFonts w:ascii="宋体"/>
                <w:szCs w:val="21"/>
              </w:rPr>
            </w:pPr>
          </w:p>
        </w:tc>
        <w:tc>
          <w:tcPr>
            <w:tcW w:w="1866" w:type="dxa"/>
            <w:vAlign w:val="center"/>
          </w:tcPr>
          <w:p w14:paraId="44E087D8">
            <w:pPr>
              <w:ind w:firstLine="210"/>
              <w:jc w:val="center"/>
              <w:rPr>
                <w:rFonts w:ascii="宋体"/>
                <w:szCs w:val="21"/>
              </w:rPr>
            </w:pPr>
          </w:p>
        </w:tc>
        <w:tc>
          <w:tcPr>
            <w:tcW w:w="3287" w:type="dxa"/>
            <w:vAlign w:val="center"/>
          </w:tcPr>
          <w:p w14:paraId="015FB5F8">
            <w:pPr>
              <w:ind w:firstLine="210"/>
              <w:jc w:val="center"/>
              <w:rPr>
                <w:rFonts w:ascii="宋体"/>
                <w:szCs w:val="21"/>
              </w:rPr>
            </w:pPr>
          </w:p>
        </w:tc>
        <w:tc>
          <w:tcPr>
            <w:tcW w:w="1898" w:type="dxa"/>
            <w:vAlign w:val="center"/>
          </w:tcPr>
          <w:p w14:paraId="44F92888">
            <w:pPr>
              <w:ind w:firstLine="210"/>
              <w:jc w:val="center"/>
              <w:rPr>
                <w:rFonts w:ascii="宋体" w:hAnsi="宋体"/>
                <w:szCs w:val="21"/>
              </w:rPr>
            </w:pPr>
          </w:p>
        </w:tc>
      </w:tr>
      <w:tr w14:paraId="71A1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14:paraId="140F5B9E">
            <w:pPr>
              <w:ind w:firstLine="210"/>
              <w:jc w:val="center"/>
              <w:rPr>
                <w:rFonts w:ascii="宋体"/>
                <w:szCs w:val="21"/>
              </w:rPr>
            </w:pPr>
          </w:p>
        </w:tc>
        <w:tc>
          <w:tcPr>
            <w:tcW w:w="1866" w:type="dxa"/>
            <w:vAlign w:val="center"/>
          </w:tcPr>
          <w:p w14:paraId="02F4E44D">
            <w:pPr>
              <w:ind w:firstLine="210"/>
              <w:jc w:val="center"/>
              <w:rPr>
                <w:rFonts w:ascii="宋体"/>
                <w:szCs w:val="21"/>
              </w:rPr>
            </w:pPr>
          </w:p>
        </w:tc>
        <w:tc>
          <w:tcPr>
            <w:tcW w:w="3287" w:type="dxa"/>
            <w:vAlign w:val="center"/>
          </w:tcPr>
          <w:p w14:paraId="6724AC7B">
            <w:pPr>
              <w:ind w:firstLine="210"/>
              <w:jc w:val="center"/>
              <w:rPr>
                <w:rFonts w:ascii="宋体"/>
                <w:szCs w:val="21"/>
              </w:rPr>
            </w:pPr>
          </w:p>
        </w:tc>
        <w:tc>
          <w:tcPr>
            <w:tcW w:w="1898" w:type="dxa"/>
            <w:vAlign w:val="center"/>
          </w:tcPr>
          <w:p w14:paraId="2F17E80A">
            <w:pPr>
              <w:ind w:firstLine="210"/>
              <w:jc w:val="center"/>
              <w:rPr>
                <w:rFonts w:ascii="宋体" w:hAnsi="宋体"/>
                <w:szCs w:val="21"/>
              </w:rPr>
            </w:pPr>
          </w:p>
        </w:tc>
      </w:tr>
      <w:tr w14:paraId="7BFD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14:paraId="36768DE4">
            <w:pPr>
              <w:ind w:firstLine="210"/>
              <w:jc w:val="center"/>
              <w:rPr>
                <w:rFonts w:ascii="宋体"/>
                <w:szCs w:val="21"/>
              </w:rPr>
            </w:pPr>
          </w:p>
        </w:tc>
        <w:tc>
          <w:tcPr>
            <w:tcW w:w="1866" w:type="dxa"/>
            <w:vAlign w:val="center"/>
          </w:tcPr>
          <w:p w14:paraId="17BF0CB8">
            <w:pPr>
              <w:ind w:firstLine="210"/>
              <w:jc w:val="center"/>
              <w:rPr>
                <w:rFonts w:ascii="宋体"/>
                <w:szCs w:val="21"/>
              </w:rPr>
            </w:pPr>
          </w:p>
        </w:tc>
        <w:tc>
          <w:tcPr>
            <w:tcW w:w="3287" w:type="dxa"/>
            <w:vAlign w:val="center"/>
          </w:tcPr>
          <w:p w14:paraId="15F4BFA0">
            <w:pPr>
              <w:ind w:firstLine="210"/>
              <w:jc w:val="center"/>
              <w:rPr>
                <w:rFonts w:ascii="宋体"/>
                <w:szCs w:val="21"/>
              </w:rPr>
            </w:pPr>
          </w:p>
        </w:tc>
        <w:tc>
          <w:tcPr>
            <w:tcW w:w="1898" w:type="dxa"/>
            <w:vAlign w:val="center"/>
          </w:tcPr>
          <w:p w14:paraId="5127C92C">
            <w:pPr>
              <w:ind w:firstLine="210"/>
              <w:jc w:val="center"/>
              <w:rPr>
                <w:rFonts w:ascii="宋体" w:hAnsi="宋体"/>
                <w:szCs w:val="21"/>
              </w:rPr>
            </w:pPr>
          </w:p>
        </w:tc>
      </w:tr>
      <w:tr w14:paraId="4C1E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14:paraId="0B1BBBE3">
            <w:pPr>
              <w:ind w:firstLine="210"/>
              <w:jc w:val="center"/>
              <w:rPr>
                <w:rFonts w:ascii="宋体"/>
                <w:szCs w:val="21"/>
              </w:rPr>
            </w:pPr>
          </w:p>
        </w:tc>
        <w:tc>
          <w:tcPr>
            <w:tcW w:w="1866" w:type="dxa"/>
            <w:vAlign w:val="center"/>
          </w:tcPr>
          <w:p w14:paraId="507FD51C">
            <w:pPr>
              <w:ind w:firstLine="210"/>
              <w:jc w:val="center"/>
              <w:rPr>
                <w:rFonts w:ascii="宋体"/>
                <w:szCs w:val="21"/>
              </w:rPr>
            </w:pPr>
          </w:p>
        </w:tc>
        <w:tc>
          <w:tcPr>
            <w:tcW w:w="3287" w:type="dxa"/>
            <w:vAlign w:val="center"/>
          </w:tcPr>
          <w:p w14:paraId="08E941FD">
            <w:pPr>
              <w:ind w:firstLine="210"/>
              <w:jc w:val="center"/>
              <w:rPr>
                <w:rFonts w:ascii="宋体"/>
                <w:szCs w:val="21"/>
              </w:rPr>
            </w:pPr>
          </w:p>
        </w:tc>
        <w:tc>
          <w:tcPr>
            <w:tcW w:w="1898" w:type="dxa"/>
            <w:vAlign w:val="center"/>
          </w:tcPr>
          <w:p w14:paraId="4029A344">
            <w:pPr>
              <w:ind w:firstLine="210"/>
              <w:jc w:val="center"/>
              <w:rPr>
                <w:rFonts w:ascii="宋体" w:hAnsi="宋体"/>
                <w:szCs w:val="21"/>
              </w:rPr>
            </w:pPr>
          </w:p>
        </w:tc>
      </w:tr>
      <w:tr w14:paraId="5374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14:paraId="2FE89C43">
            <w:pPr>
              <w:ind w:firstLine="210"/>
              <w:jc w:val="center"/>
              <w:rPr>
                <w:rFonts w:ascii="宋体"/>
                <w:szCs w:val="21"/>
              </w:rPr>
            </w:pPr>
          </w:p>
        </w:tc>
        <w:tc>
          <w:tcPr>
            <w:tcW w:w="1866" w:type="dxa"/>
            <w:vAlign w:val="center"/>
          </w:tcPr>
          <w:p w14:paraId="524758C7">
            <w:pPr>
              <w:ind w:firstLine="210"/>
              <w:jc w:val="center"/>
              <w:rPr>
                <w:rFonts w:ascii="宋体"/>
                <w:szCs w:val="21"/>
              </w:rPr>
            </w:pPr>
          </w:p>
        </w:tc>
        <w:tc>
          <w:tcPr>
            <w:tcW w:w="3287" w:type="dxa"/>
            <w:vAlign w:val="center"/>
          </w:tcPr>
          <w:p w14:paraId="2FFE497A">
            <w:pPr>
              <w:ind w:firstLine="210"/>
              <w:jc w:val="center"/>
              <w:rPr>
                <w:rFonts w:ascii="宋体"/>
                <w:szCs w:val="21"/>
              </w:rPr>
            </w:pPr>
          </w:p>
        </w:tc>
        <w:tc>
          <w:tcPr>
            <w:tcW w:w="1898" w:type="dxa"/>
            <w:vAlign w:val="center"/>
          </w:tcPr>
          <w:p w14:paraId="46D1D9C9">
            <w:pPr>
              <w:ind w:firstLine="210"/>
              <w:jc w:val="center"/>
              <w:rPr>
                <w:rFonts w:ascii="宋体" w:hAnsi="宋体"/>
                <w:szCs w:val="21"/>
              </w:rPr>
            </w:pPr>
          </w:p>
        </w:tc>
      </w:tr>
    </w:tbl>
    <w:p w14:paraId="630CAC25">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市场咨询调研</w:t>
      </w:r>
      <w:r>
        <w:rPr>
          <w:rFonts w:hint="eastAsia" w:ascii="Arial" w:hAnsi="宋体" w:cs="Arial"/>
          <w:b/>
          <w:szCs w:val="21"/>
        </w:rPr>
        <w:t>总价。</w:t>
      </w:r>
    </w:p>
    <w:p w14:paraId="42AB990A">
      <w:pPr>
        <w:spacing w:line="400" w:lineRule="atLeast"/>
        <w:ind w:firstLine="632" w:firstLineChars="300"/>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eastAsia="zh-CN"/>
        </w:rPr>
        <w:t>市场咨询调研</w:t>
      </w:r>
      <w:r>
        <w:rPr>
          <w:rFonts w:hint="eastAsia" w:ascii="Arial" w:hAnsi="宋体" w:cs="Arial"/>
          <w:b/>
          <w:szCs w:val="21"/>
        </w:rPr>
        <w:t>人应根据</w:t>
      </w:r>
      <w:r>
        <w:rPr>
          <w:rFonts w:hint="eastAsia" w:ascii="Arial" w:hAnsi="宋体" w:cs="Arial"/>
          <w:b/>
          <w:szCs w:val="21"/>
          <w:lang w:eastAsia="zh-CN"/>
        </w:rPr>
        <w:t>市场咨询调研</w:t>
      </w:r>
      <w:r>
        <w:rPr>
          <w:rFonts w:hint="eastAsia" w:ascii="Arial" w:hAnsi="宋体" w:cs="Arial"/>
          <w:b/>
          <w:szCs w:val="21"/>
        </w:rPr>
        <w:t>文件要求及实际需要情况详细填写，并准备足够数量的表格和内容来填写本表。</w:t>
      </w:r>
    </w:p>
    <w:p w14:paraId="5E1E2247">
      <w:pPr>
        <w:ind w:firstLine="632" w:firstLineChars="300"/>
        <w:rPr>
          <w:rFonts w:ascii="Arial" w:hAnsi="宋体" w:cs="Arial"/>
          <w:b/>
          <w:szCs w:val="21"/>
        </w:rPr>
      </w:pPr>
      <w:r>
        <w:rPr>
          <w:rFonts w:hint="eastAsia" w:ascii="Arial" w:hAnsi="宋体" w:cs="Arial"/>
          <w:b/>
          <w:szCs w:val="21"/>
        </w:rPr>
        <w:t>3.如不填写，视作该</w:t>
      </w:r>
      <w:r>
        <w:rPr>
          <w:rFonts w:hint="eastAsia" w:ascii="Arial" w:hAnsi="宋体" w:cs="Arial"/>
          <w:b/>
          <w:szCs w:val="21"/>
          <w:lang w:eastAsia="zh-CN"/>
        </w:rPr>
        <w:t>市场咨询调研</w:t>
      </w:r>
      <w:r>
        <w:rPr>
          <w:rFonts w:hint="eastAsia" w:ascii="Arial" w:hAnsi="宋体" w:cs="Arial"/>
          <w:b/>
          <w:szCs w:val="21"/>
        </w:rPr>
        <w:t>商完全响应</w:t>
      </w:r>
      <w:r>
        <w:rPr>
          <w:rFonts w:hint="eastAsia" w:ascii="Arial" w:hAnsi="宋体" w:cs="Arial"/>
          <w:b/>
          <w:szCs w:val="21"/>
          <w:lang w:eastAsia="zh-CN"/>
        </w:rPr>
        <w:t>市场咨询调研</w:t>
      </w:r>
      <w:r>
        <w:rPr>
          <w:rFonts w:hint="eastAsia" w:ascii="Arial" w:hAnsi="宋体" w:cs="Arial"/>
          <w:b/>
          <w:szCs w:val="21"/>
        </w:rPr>
        <w:t>文件的技术参数和功能要求。</w:t>
      </w:r>
      <w:r>
        <w:rPr>
          <w:rFonts w:hint="eastAsia" w:ascii="Arial" w:hAnsi="宋体" w:cs="Arial"/>
          <w:b/>
          <w:szCs w:val="21"/>
          <w:lang w:eastAsia="zh-CN"/>
        </w:rPr>
        <w:t>市场咨询调研</w:t>
      </w:r>
      <w:r>
        <w:rPr>
          <w:rFonts w:hint="eastAsia" w:ascii="Arial" w:hAnsi="宋体" w:cs="Arial"/>
          <w:b/>
          <w:szCs w:val="21"/>
        </w:rPr>
        <w:t>人应保证所提供设备的特性和性能不低于下列所填写的指标，并提供下列有关文字和图纸说明。</w:t>
      </w:r>
    </w:p>
    <w:p w14:paraId="07529602">
      <w:pPr>
        <w:ind w:firstLine="210"/>
        <w:jc w:val="left"/>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14:paraId="73CD8E21">
      <w:pPr>
        <w:ind w:firstLine="210"/>
        <w:rPr>
          <w:rFonts w:ascii="Arial" w:hAnsi="Arial" w:cs="Arial"/>
          <w:szCs w:val="21"/>
        </w:rPr>
      </w:pPr>
      <w:r>
        <w:rPr>
          <w:rFonts w:ascii="Arial" w:hAnsi="Arial" w:cs="Arial"/>
          <w:szCs w:val="21"/>
        </w:rPr>
        <w:t>法定代表人或其委托代理人：（签字或盖章）</w:t>
      </w:r>
    </w:p>
    <w:p w14:paraId="14BECDCC">
      <w:pPr>
        <w:ind w:firstLine="210"/>
        <w:rPr>
          <w:rFonts w:ascii="宋体" w:hAnsi="宋体"/>
          <w:szCs w:val="21"/>
        </w:rPr>
      </w:pPr>
      <w:r>
        <w:rPr>
          <w:rFonts w:hint="eastAsia" w:ascii="宋体" w:hAnsi="宋体"/>
          <w:szCs w:val="21"/>
        </w:rPr>
        <w:t>日期：</w:t>
      </w:r>
    </w:p>
    <w:p w14:paraId="4E8DFC83">
      <w:pPr>
        <w:ind w:firstLine="240"/>
        <w:rPr>
          <w:rFonts w:ascii="宋体" w:hAnsi="宋体"/>
          <w:sz w:val="24"/>
        </w:rPr>
      </w:pPr>
    </w:p>
    <w:p w14:paraId="26C3806A">
      <w:pPr>
        <w:spacing w:line="360" w:lineRule="auto"/>
        <w:ind w:right="-10" w:firstLine="210"/>
        <w:jc w:val="left"/>
        <w:rPr>
          <w:rFonts w:ascii="宋体" w:hAnsi="宋体"/>
          <w:szCs w:val="21"/>
        </w:rPr>
        <w:sectPr>
          <w:footerReference r:id="rId5" w:type="default"/>
          <w:pgSz w:w="11906" w:h="16838"/>
          <w:pgMar w:top="1440" w:right="1134" w:bottom="1440" w:left="1134" w:header="851" w:footer="992" w:gutter="0"/>
          <w:cols w:space="720" w:num="1"/>
          <w:docGrid w:linePitch="312" w:charSpace="0"/>
        </w:sectPr>
      </w:pPr>
    </w:p>
    <w:p w14:paraId="7F5ECDEF">
      <w:pPr>
        <w:pStyle w:val="5"/>
        <w:spacing w:before="120" w:after="120" w:line="400" w:lineRule="exact"/>
        <w:ind w:left="0" w:leftChars="0" w:firstLine="0" w:firstLineChars="0"/>
        <w:outlineLvl w:val="0"/>
        <w:rPr>
          <w:rFonts w:hint="default" w:ascii="宋体" w:hAnsi="宋体" w:cs="宋体"/>
          <w:b w:val="0"/>
          <w:bCs w:val="0"/>
          <w:sz w:val="24"/>
          <w:szCs w:val="24"/>
          <w:lang w:val="en-US" w:eastAsia="zh-CN"/>
        </w:rPr>
      </w:pPr>
      <w:bookmarkStart w:id="27" w:name="_Toc18698"/>
      <w:bookmarkStart w:id="28" w:name="_Toc18765"/>
      <w:bookmarkStart w:id="29" w:name="_Toc18803"/>
      <w:r>
        <w:rPr>
          <w:rFonts w:hint="eastAsia" w:ascii="宋体" w:hAnsi="宋体" w:cs="宋体"/>
          <w:b w:val="0"/>
          <w:bCs w:val="0"/>
          <w:sz w:val="24"/>
          <w:szCs w:val="24"/>
          <w:lang w:val="en-US" w:eastAsia="zh-CN"/>
        </w:rPr>
        <w:t>格式四：</w:t>
      </w:r>
    </w:p>
    <w:p w14:paraId="6D031A5E">
      <w:pPr>
        <w:spacing w:line="360" w:lineRule="auto"/>
        <w:ind w:firstLine="65" w:firstLineChars="31"/>
        <w:outlineLvl w:val="0"/>
        <w:rPr>
          <w:rFonts w:ascii="宋体" w:hAnsi="宋体"/>
          <w:b/>
          <w:sz w:val="36"/>
          <w:szCs w:val="36"/>
        </w:rPr>
      </w:pPr>
      <w:r>
        <w:rPr>
          <w:rFonts w:hint="eastAsia" w:ascii="宋体" w:hAnsi="宋体" w:cs="宋体"/>
          <w:szCs w:val="21"/>
          <w:lang w:val="en-US" w:eastAsia="zh-CN"/>
        </w:rPr>
        <w:t xml:space="preserve">                   </w:t>
      </w:r>
      <w:r>
        <w:rPr>
          <w:rFonts w:hint="eastAsia" w:ascii="宋体" w:hAnsi="宋体"/>
          <w:b/>
          <w:sz w:val="36"/>
          <w:szCs w:val="36"/>
        </w:rPr>
        <w:t>法定代表人授权委托书</w:t>
      </w:r>
      <w:bookmarkEnd w:id="27"/>
      <w:bookmarkEnd w:id="28"/>
      <w:bookmarkEnd w:id="29"/>
    </w:p>
    <w:p w14:paraId="5C42A4FF">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14:paraId="334E6346">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市场咨询调研</w:t>
      </w:r>
      <w:r>
        <w:rPr>
          <w:rFonts w:hint="eastAsia" w:ascii="宋体" w:hAnsi="宋体"/>
          <w:szCs w:val="21"/>
        </w:rPr>
        <w:t>人）的法定代表人，现授权委托我单位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szCs w:val="21"/>
        </w:rPr>
        <w:t>的</w:t>
      </w:r>
      <w:r>
        <w:rPr>
          <w:rFonts w:hint="eastAsia" w:ascii="宋体" w:hAnsi="宋体"/>
          <w:b/>
          <w:szCs w:val="21"/>
          <w:u w:val="none"/>
          <w:lang w:eastAsia="zh-CN"/>
        </w:rPr>
        <w:t>台州市立医院迁建工程二期</w:t>
      </w:r>
      <w:r>
        <w:rPr>
          <w:rFonts w:hint="eastAsia" w:ascii="宋体" w:hAnsi="宋体"/>
          <w:b/>
          <w:szCs w:val="21"/>
          <w:u w:val="none"/>
          <w:lang w:val="en-US" w:eastAsia="zh-CN"/>
        </w:rPr>
        <w:t>标识标牌</w:t>
      </w:r>
      <w:r>
        <w:rPr>
          <w:rFonts w:hint="eastAsia" w:ascii="宋体" w:hAnsi="宋体"/>
          <w:szCs w:val="21"/>
        </w:rPr>
        <w:t>的</w:t>
      </w:r>
      <w:r>
        <w:rPr>
          <w:rFonts w:hint="eastAsia" w:ascii="宋体" w:hAnsi="宋体"/>
          <w:szCs w:val="21"/>
          <w:lang w:eastAsia="zh-CN"/>
        </w:rPr>
        <w:t>市场咨询调研</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市场咨询调研</w:t>
      </w:r>
      <w:r>
        <w:rPr>
          <w:rFonts w:hint="eastAsia" w:ascii="宋体" w:hAnsi="宋体"/>
          <w:szCs w:val="21"/>
        </w:rPr>
        <w:t>活动中的一切事务，我均予以承认。</w:t>
      </w:r>
    </w:p>
    <w:p w14:paraId="266D0CF1">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14:paraId="77D59140">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30057A8E">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23D988B3">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0B935B5D">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14:paraId="26CE32FD">
      <w:pPr>
        <w:adjustRightInd w:val="0"/>
        <w:snapToGrid w:val="0"/>
        <w:spacing w:before="120" w:beforeLines="50" w:line="48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r>
        <w:rPr>
          <w:rFonts w:hint="eastAsia" w:ascii="宋体" w:hAnsi="宋体"/>
          <w:szCs w:val="21"/>
          <w:u w:val="single"/>
        </w:rPr>
        <w:t xml:space="preserve">                                         </w:t>
      </w:r>
    </w:p>
    <w:p w14:paraId="66292015">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14:paraId="369EA772">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14:paraId="36324D51">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30CBE7D6">
      <w:pPr>
        <w:spacing w:line="480" w:lineRule="auto"/>
        <w:ind w:firstLine="210"/>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39EAF91">
      <w:pPr>
        <w:ind w:firstLine="321"/>
        <w:jc w:val="center"/>
        <w:outlineLvl w:val="9"/>
        <w:rPr>
          <w:rFonts w:eastAsia="仿宋_GB2312"/>
          <w:sz w:val="32"/>
          <w:szCs w:val="32"/>
        </w:rPr>
      </w:pPr>
      <w:r>
        <w:rPr>
          <w:rFonts w:hint="eastAsia" w:ascii="Arial" w:hAnsi="Arial" w:cs="Arial"/>
          <w:b/>
          <w:bCs/>
          <w:sz w:val="32"/>
          <w:szCs w:val="32"/>
        </w:rPr>
        <w:t xml:space="preserve"> </w:t>
      </w:r>
      <w:bookmarkStart w:id="30" w:name="_Toc149647611"/>
      <w:bookmarkEnd w:id="30"/>
      <w:bookmarkStart w:id="31" w:name="_Toc152045792"/>
      <w:bookmarkEnd w:id="31"/>
      <w:bookmarkStart w:id="32" w:name="_Toc405311002"/>
      <w:bookmarkEnd w:id="32"/>
      <w:bookmarkStart w:id="33" w:name="_Toc202258925"/>
      <w:bookmarkEnd w:id="33"/>
      <w:bookmarkStart w:id="34" w:name="_Toc144974861"/>
      <w:bookmarkEnd w:id="34"/>
      <w:bookmarkStart w:id="35" w:name="_Toc202258922"/>
      <w:bookmarkEnd w:id="35"/>
      <w:bookmarkStart w:id="36" w:name="_Toc223873458"/>
      <w:bookmarkEnd w:id="36"/>
      <w:bookmarkStart w:id="37" w:name="_Toc372212494"/>
      <w:bookmarkEnd w:id="37"/>
      <w:bookmarkStart w:id="38" w:name="_Toc202258923"/>
      <w:bookmarkEnd w:id="38"/>
      <w:bookmarkStart w:id="39" w:name="_Toc229646792"/>
      <w:bookmarkEnd w:id="39"/>
      <w:bookmarkStart w:id="40" w:name="_Toc149647609"/>
      <w:bookmarkEnd w:id="40"/>
      <w:bookmarkStart w:id="41" w:name="_Toc152042581"/>
      <w:bookmarkEnd w:id="41"/>
      <w:bookmarkStart w:id="42" w:name="_Toc405311001"/>
      <w:bookmarkEnd w:id="42"/>
      <w:bookmarkStart w:id="43" w:name="_Toc320271437"/>
      <w:bookmarkEnd w:id="43"/>
      <w:bookmarkStart w:id="44" w:name="_Toc149647607"/>
      <w:bookmarkEnd w:id="44"/>
      <w:bookmarkStart w:id="45" w:name="_Toc234515648"/>
      <w:bookmarkEnd w:id="45"/>
    </w:p>
    <w:p w14:paraId="147EBC60">
      <w:pPr>
        <w:spacing w:before="100" w:beforeAutospacing="1" w:after="100" w:afterAutospacing="1"/>
        <w:ind w:firstLine="0" w:firstLineChars="0"/>
        <w:rPr>
          <w:rFonts w:ascii="宋体" w:hAnsi="宋体"/>
          <w:b/>
          <w:bCs/>
          <w:sz w:val="18"/>
          <w:szCs w:val="18"/>
        </w:rPr>
      </w:pPr>
    </w:p>
    <w:p w14:paraId="0393A089">
      <w:pPr>
        <w:spacing w:before="100" w:beforeAutospacing="1" w:after="100" w:afterAutospacing="1"/>
        <w:ind w:firstLine="0" w:firstLineChars="0"/>
        <w:rPr>
          <w:rFonts w:ascii="宋体" w:hAnsi="宋体"/>
          <w:b/>
          <w:bCs/>
          <w:sz w:val="18"/>
          <w:szCs w:val="18"/>
        </w:rPr>
      </w:pPr>
    </w:p>
    <w:p w14:paraId="240F40F1">
      <w:pPr>
        <w:pStyle w:val="20"/>
      </w:pPr>
    </w:p>
    <w:p w14:paraId="01BF9212">
      <w:pPr>
        <w:pStyle w:val="5"/>
        <w:spacing w:before="120" w:after="120" w:line="400" w:lineRule="exact"/>
        <w:ind w:firstLine="240"/>
        <w:outlineLvl w:val="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格式五：</w:t>
      </w:r>
    </w:p>
    <w:p w14:paraId="493CDAF2">
      <w:pPr>
        <w:keepNext/>
        <w:keepLines/>
        <w:spacing w:line="400" w:lineRule="exact"/>
        <w:ind w:firstLine="210"/>
        <w:outlineLvl w:val="0"/>
        <w:rPr>
          <w:rFonts w:ascii="宋体" w:hAnsi="宋体"/>
          <w:b/>
          <w:sz w:val="36"/>
          <w:szCs w:val="36"/>
        </w:rPr>
      </w:pPr>
      <w:bookmarkStart w:id="46" w:name="_Toc10047"/>
      <w:bookmarkStart w:id="47" w:name="_Toc31542"/>
      <w:bookmarkStart w:id="48" w:name="_Toc21577"/>
      <w:r>
        <w:rPr>
          <w:rFonts w:hint="eastAsia" w:ascii="宋体" w:hAnsi="宋体" w:cs="宋体"/>
          <w:szCs w:val="21"/>
          <w:lang w:val="en-US" w:eastAsia="zh-CN"/>
        </w:rPr>
        <w:t xml:space="preserve">                     </w:t>
      </w:r>
      <w:r>
        <w:rPr>
          <w:rFonts w:ascii="宋体" w:hAnsi="宋体"/>
          <w:b/>
          <w:sz w:val="36"/>
          <w:szCs w:val="36"/>
        </w:rPr>
        <w:t>法定代表人身份证明</w:t>
      </w:r>
      <w:bookmarkEnd w:id="46"/>
      <w:bookmarkEnd w:id="47"/>
      <w:bookmarkEnd w:id="48"/>
    </w:p>
    <w:p w14:paraId="3DE52D86">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14:paraId="5055FFD0">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eastAsia="zh-CN"/>
        </w:rPr>
        <w:t>市场咨询调研</w:t>
      </w:r>
      <w:r>
        <w:rPr>
          <w:rFonts w:ascii="宋体" w:hAnsi="宋体"/>
          <w:snapToGrid w:val="0"/>
          <w:kern w:val="0"/>
          <w:szCs w:val="21"/>
        </w:rPr>
        <w:t>人名称：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14:paraId="1681D4A0">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44782766">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304451BA">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14:paraId="2DF37A31">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1E664363">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14:paraId="5014B505">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14:paraId="5AFF1309">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eastAsia="zh-CN"/>
        </w:rPr>
        <w:t>市场咨询调研</w:t>
      </w:r>
      <w:r>
        <w:rPr>
          <w:rFonts w:ascii="宋体" w:hAnsi="宋体"/>
          <w:snapToGrid w:val="0"/>
          <w:kern w:val="0"/>
          <w:szCs w:val="21"/>
        </w:rPr>
        <w:t>人名称）的法定代表人。</w:t>
      </w:r>
    </w:p>
    <w:p w14:paraId="49CBC82A">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14:paraId="5AF014DE">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14:paraId="0FD727B5">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14:paraId="02028D5B">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eastAsia="zh-CN"/>
        </w:rPr>
        <w:t>市场咨询调研</w:t>
      </w:r>
      <w:r>
        <w:rPr>
          <w:rFonts w:ascii="宋体" w:hAnsi="宋体"/>
          <w:snapToGrid w:val="0"/>
          <w:kern w:val="0"/>
          <w:szCs w:val="21"/>
        </w:rPr>
        <w:t>人：（盖单位</w:t>
      </w:r>
      <w:r>
        <w:rPr>
          <w:rFonts w:hint="eastAsia" w:ascii="宋体" w:hAnsi="宋体"/>
          <w:snapToGrid w:val="0"/>
          <w:kern w:val="0"/>
          <w:szCs w:val="21"/>
        </w:rPr>
        <w:t>公</w:t>
      </w:r>
      <w:r>
        <w:rPr>
          <w:rFonts w:ascii="宋体" w:hAnsi="宋体"/>
          <w:snapToGrid w:val="0"/>
          <w:kern w:val="0"/>
          <w:szCs w:val="21"/>
        </w:rPr>
        <w:t>章）</w:t>
      </w:r>
    </w:p>
    <w:p w14:paraId="4CCF18DA">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14:paraId="50877904">
      <w:pPr>
        <w:autoSpaceDE w:val="0"/>
        <w:autoSpaceDN w:val="0"/>
        <w:adjustRightInd w:val="0"/>
        <w:snapToGrid w:val="0"/>
        <w:spacing w:line="360" w:lineRule="auto"/>
        <w:ind w:left="0" w:leftChars="0" w:firstLine="210" w:firstLineChars="0"/>
        <w:jc w:val="right"/>
        <w:textAlignment w:val="baseline"/>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D435">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138</w:t>
    </w:r>
    <w:r>
      <w:fldChar w:fldCharType="end"/>
    </w:r>
  </w:p>
  <w:p w14:paraId="02BD626F">
    <w:pPr>
      <w:pStyle w:val="12"/>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7249C"/>
    <w:multiLevelType w:val="multilevel"/>
    <w:tmpl w:val="1EA7249C"/>
    <w:lvl w:ilvl="0" w:tentative="0">
      <w:start w:val="1"/>
      <w:numFmt w:val="decimal"/>
      <w:lvlText w:val="%1"/>
      <w:lvlJc w:val="left"/>
      <w:pPr>
        <w:ind w:left="465" w:hanging="465"/>
      </w:pPr>
      <w:rPr>
        <w:rFonts w:hint="default"/>
      </w:rPr>
    </w:lvl>
    <w:lvl w:ilvl="1" w:tentative="0">
      <w:start w:val="1"/>
      <w:numFmt w:val="decimal"/>
      <w:lvlText w:val="%1.%2"/>
      <w:lvlJc w:val="left"/>
      <w:pPr>
        <w:ind w:left="825" w:hanging="465"/>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1">
    <w:nsid w:val="424D374E"/>
    <w:multiLevelType w:val="multilevel"/>
    <w:tmpl w:val="424D37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BA35DA"/>
    <w:multiLevelType w:val="singleLevel"/>
    <w:tmpl w:val="65BA35DA"/>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MzNjYzQxNTAwNDA3NjI1NmZlNzE5MjY3MWMxZGEifQ=="/>
  </w:docVars>
  <w:rsids>
    <w:rsidRoot w:val="62F7048E"/>
    <w:rsid w:val="000F6964"/>
    <w:rsid w:val="01C62F94"/>
    <w:rsid w:val="03B75B5A"/>
    <w:rsid w:val="077F25A1"/>
    <w:rsid w:val="0992531D"/>
    <w:rsid w:val="099405C4"/>
    <w:rsid w:val="0AC57642"/>
    <w:rsid w:val="0B6E1DBA"/>
    <w:rsid w:val="0D9A2205"/>
    <w:rsid w:val="0D9D02C0"/>
    <w:rsid w:val="119816E8"/>
    <w:rsid w:val="130E521F"/>
    <w:rsid w:val="13710085"/>
    <w:rsid w:val="1CC95F43"/>
    <w:rsid w:val="1F0C0BD5"/>
    <w:rsid w:val="1F151537"/>
    <w:rsid w:val="1F454574"/>
    <w:rsid w:val="20D83D94"/>
    <w:rsid w:val="249B0AD9"/>
    <w:rsid w:val="27D74169"/>
    <w:rsid w:val="2A730BEF"/>
    <w:rsid w:val="2CE57BD5"/>
    <w:rsid w:val="2E1B35A6"/>
    <w:rsid w:val="300D6517"/>
    <w:rsid w:val="31E94985"/>
    <w:rsid w:val="33057AA5"/>
    <w:rsid w:val="35C86955"/>
    <w:rsid w:val="36B20E25"/>
    <w:rsid w:val="370E1BD7"/>
    <w:rsid w:val="374F4AF3"/>
    <w:rsid w:val="37E277EE"/>
    <w:rsid w:val="381D1F2B"/>
    <w:rsid w:val="3A5C1A7F"/>
    <w:rsid w:val="3AD220D8"/>
    <w:rsid w:val="3AEF7F72"/>
    <w:rsid w:val="3C9A6D32"/>
    <w:rsid w:val="3D2518E1"/>
    <w:rsid w:val="3D8B21D4"/>
    <w:rsid w:val="3ED3173D"/>
    <w:rsid w:val="3FC9365A"/>
    <w:rsid w:val="40F63E08"/>
    <w:rsid w:val="434D4210"/>
    <w:rsid w:val="44F52616"/>
    <w:rsid w:val="4508235C"/>
    <w:rsid w:val="456668AF"/>
    <w:rsid w:val="45C2075D"/>
    <w:rsid w:val="45FE06CA"/>
    <w:rsid w:val="46156C4A"/>
    <w:rsid w:val="49407F77"/>
    <w:rsid w:val="49EC3055"/>
    <w:rsid w:val="49F65096"/>
    <w:rsid w:val="4A295C70"/>
    <w:rsid w:val="4C814A8E"/>
    <w:rsid w:val="551B6FAB"/>
    <w:rsid w:val="586250C8"/>
    <w:rsid w:val="58C65679"/>
    <w:rsid w:val="5E55500A"/>
    <w:rsid w:val="64572474"/>
    <w:rsid w:val="669779E1"/>
    <w:rsid w:val="6EFD70F6"/>
    <w:rsid w:val="6F4241BA"/>
    <w:rsid w:val="7199236F"/>
    <w:rsid w:val="72591622"/>
    <w:rsid w:val="73BE1CB4"/>
    <w:rsid w:val="75FD66A1"/>
    <w:rsid w:val="7626480A"/>
    <w:rsid w:val="76297081"/>
    <w:rsid w:val="764204D1"/>
    <w:rsid w:val="78C733B9"/>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3"/>
    <w:basedOn w:val="1"/>
    <w:next w:val="1"/>
    <w:qFormat/>
    <w:uiPriority w:val="0"/>
    <w:pPr>
      <w:keepNext/>
      <w:keepLines/>
      <w:spacing w:line="360" w:lineRule="auto"/>
      <w:ind w:firstLine="200" w:firstLineChars="200"/>
      <w:outlineLvl w:val="2"/>
    </w:pPr>
    <w:rPr>
      <w:b/>
      <w:bCs/>
      <w:szCs w:val="32"/>
    </w:rPr>
  </w:style>
  <w:style w:type="paragraph" w:styleId="7">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cs="宋体"/>
      <w:sz w:val="21"/>
      <w:szCs w:val="21"/>
    </w:rPr>
  </w:style>
  <w:style w:type="paragraph" w:styleId="3">
    <w:name w:val="Body Text Indent"/>
    <w:basedOn w:val="1"/>
    <w:qFormat/>
    <w:uiPriority w:val="0"/>
    <w:pPr>
      <w:spacing w:line="200" w:lineRule="exact"/>
      <w:ind w:firstLine="301"/>
    </w:pPr>
    <w:rPr>
      <w:rFonts w:ascii="宋体" w:hAnsi="Courier New"/>
      <w:spacing w:val="-4"/>
      <w:kern w:val="0"/>
      <w:sz w:val="18"/>
      <w:szCs w:val="20"/>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Plain Text"/>
    <w:basedOn w:val="1"/>
    <w:qFormat/>
    <w:uiPriority w:val="0"/>
    <w:rPr>
      <w:rFonts w:ascii="宋体" w:hAnsi="Courier New" w:eastAsia="宋体"/>
      <w:sz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1">
    <w:name w:val="TOC 11"/>
    <w:basedOn w:val="1"/>
    <w:next w:val="1"/>
    <w:qFormat/>
    <w:uiPriority w:val="39"/>
    <w:pPr>
      <w:tabs>
        <w:tab w:val="left" w:pos="0"/>
        <w:tab w:val="right" w:leader="dot" w:pos="8280"/>
      </w:tabs>
      <w:adjustRightInd w:val="0"/>
      <w:snapToGrid w:val="0"/>
      <w:spacing w:beforeLines="50" w:afterLines="50"/>
    </w:pPr>
  </w:style>
  <w:style w:type="paragraph" w:customStyle="1" w:styleId="22">
    <w:name w:val="TOC 21"/>
    <w:basedOn w:val="1"/>
    <w:next w:val="1"/>
    <w:qFormat/>
    <w:uiPriority w:val="39"/>
    <w:pPr>
      <w:tabs>
        <w:tab w:val="right" w:leader="dot" w:pos="8280"/>
      </w:tabs>
      <w:spacing w:line="360" w:lineRule="auto"/>
      <w:ind w:left="420" w:leftChars="200"/>
    </w:pPr>
    <w:rPr>
      <w:color w:val="000000"/>
    </w:rPr>
  </w:style>
  <w:style w:type="paragraph" w:customStyle="1" w:styleId="23">
    <w:name w:val="TOC 31"/>
    <w:basedOn w:val="1"/>
    <w:next w:val="1"/>
    <w:qFormat/>
    <w:uiPriority w:val="39"/>
    <w:pPr>
      <w:tabs>
        <w:tab w:val="right" w:leader="dot" w:pos="8296"/>
      </w:tabs>
      <w:ind w:left="840" w:leftChars="258" w:hanging="298" w:hangingChars="142"/>
    </w:pPr>
  </w:style>
  <w:style w:type="paragraph" w:customStyle="1" w:styleId="2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25">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纯文本_0"/>
    <w:basedOn w:val="28"/>
    <w:unhideWhenUsed/>
    <w:qFormat/>
    <w:uiPriority w:val="0"/>
    <w:rPr>
      <w:rFonts w:ascii="宋体" w:hAnsi="Courier New"/>
      <w:szCs w:val="21"/>
    </w:rPr>
  </w:style>
  <w:style w:type="paragraph" w:customStyle="1" w:styleId="2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缩进_1"/>
    <w:basedOn w:val="31"/>
    <w:qFormat/>
    <w:uiPriority w:val="0"/>
    <w:pPr>
      <w:ind w:firstLine="420" w:firstLineChars="200"/>
    </w:pPr>
    <w:rPr>
      <w:rFonts w:ascii="Calibri" w:hAnsi="Calibri"/>
      <w:kern w:val="0"/>
      <w:sz w:val="20"/>
      <w:szCs w:val="20"/>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3">
    <w:name w:val="正文首行缩进1"/>
    <w:basedOn w:val="10"/>
    <w:qFormat/>
    <w:uiPriority w:val="0"/>
    <w:pPr>
      <w:ind w:firstLine="420"/>
    </w:p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 w:type="character" w:customStyle="1" w:styleId="36">
    <w:name w:val="NormalCharacter"/>
    <w:qFormat/>
    <w:uiPriority w:val="0"/>
  </w:style>
  <w:style w:type="paragraph" w:customStyle="1" w:styleId="37">
    <w:name w:val="BodyText"/>
    <w:basedOn w:val="1"/>
    <w:qFormat/>
    <w:uiPriority w:val="0"/>
    <w:pPr>
      <w:widowControl/>
      <w:spacing w:after="120"/>
      <w:textAlignment w:val="baseline"/>
    </w:pPr>
    <w:rPr>
      <w:sz w:val="21"/>
      <w:lang w:bidi="mn-Mong-CN"/>
    </w:rPr>
  </w:style>
  <w:style w:type="paragraph" w:customStyle="1" w:styleId="38">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39">
    <w:name w:val="Normal_3"/>
    <w:qFormat/>
    <w:uiPriority w:val="0"/>
    <w:rPr>
      <w:rFonts w:ascii="Times New Roman" w:hAnsi="Times New Roman" w:eastAsia="Times New Roman" w:cs="Times New Roman"/>
      <w:kern w:val="0"/>
      <w:sz w:val="24"/>
      <w:szCs w:val="24"/>
      <w:lang w:val="en-US" w:eastAsia="zh-CN" w:bidi="ar-SA"/>
    </w:rPr>
  </w:style>
  <w:style w:type="paragraph" w:customStyle="1" w:styleId="40">
    <w:name w:val="列出段落"/>
    <w:basedOn w:val="1"/>
    <w:qFormat/>
    <w:uiPriority w:val="34"/>
    <w:pPr>
      <w:ind w:firstLine="420" w:firstLineChars="200"/>
    </w:pPr>
    <w:rPr>
      <w:rFonts w:ascii="Calibri" w:hAnsi="Calibri" w:eastAsia="宋体"/>
      <w:sz w:val="21"/>
      <w:szCs w:val="22"/>
    </w:rPr>
  </w:style>
  <w:style w:type="paragraph" w:customStyle="1" w:styleId="41">
    <w:name w:val="中等深浅网格 1 - 着色 21"/>
    <w:basedOn w:val="1"/>
    <w:qFormat/>
    <w:uiPriority w:val="0"/>
    <w:pPr>
      <w:tabs>
        <w:tab w:val="left" w:pos="482"/>
        <w:tab w:val="left" w:pos="2183"/>
        <w:tab w:val="left" w:pos="3884"/>
        <w:tab w:val="left" w:pos="5585"/>
      </w:tabs>
      <w:adjustRightInd w:val="0"/>
      <w:ind w:firstLine="420" w:firstLineChars="200"/>
      <w:textAlignment w:val="baseline"/>
    </w:pPr>
    <w:rPr>
      <w:rFonts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5273</Words>
  <Characters>5610</Characters>
  <Lines>0</Lines>
  <Paragraphs>0</Paragraphs>
  <TotalTime>1</TotalTime>
  <ScaleCrop>false</ScaleCrop>
  <LinksUpToDate>false</LinksUpToDate>
  <CharactersWithSpaces>6388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茶时午</cp:lastModifiedBy>
  <dcterms:modified xsi:type="dcterms:W3CDTF">2025-07-18T09:55:28Z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1D116BABB5FA4AD891AFE7176A2B9C99_13</vt:lpwstr>
  </property>
  <property fmtid="{D5CDD505-2E9C-101B-9397-08002B2CF9AE}" pid="4" name="KSOTemplateDocerSaveRecord">
    <vt:lpwstr>eyJoZGlkIjoiNjZhODc3MTQ2YjAxMGIxMTg5NDhlMDE3N2FjZmJhZTUiLCJ1c2VySWQiOiIxNjg4ODU0MSJ9</vt:lpwstr>
  </property>
</Properties>
</file>