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2C7FA7">
      <w:pPr>
        <w:rPr>
          <w:rStyle w:val="8"/>
          <w:rFonts w:hint="eastAsia" w:ascii="Times New Roman" w:hAnsi="Times New Roman" w:eastAsia="宋体" w:cs="Times New Roman"/>
          <w:i w:val="0"/>
          <w:iCs w:val="0"/>
          <w:caps w:val="0"/>
          <w:color w:val="206457"/>
          <w:spacing w:val="0"/>
          <w:kern w:val="2"/>
          <w:sz w:val="28"/>
          <w:szCs w:val="28"/>
          <w:lang w:val="en-US" w:eastAsia="zh-CN" w:bidi="ar-SA"/>
        </w:rPr>
      </w:pPr>
    </w:p>
    <w:p w14:paraId="46ADD3F2">
      <w:pPr>
        <w:pStyle w:val="2"/>
        <w:bidi w:val="0"/>
        <w:jc w:val="center"/>
        <w:rPr>
          <w:rFonts w:hint="eastAsia"/>
          <w:sz w:val="52"/>
          <w:szCs w:val="52"/>
          <w:lang w:val="en-US" w:eastAsia="zh-CN"/>
        </w:rPr>
      </w:pPr>
      <w:r>
        <w:rPr>
          <w:rFonts w:hint="eastAsia"/>
          <w:sz w:val="52"/>
          <w:szCs w:val="52"/>
          <w:lang w:val="en-US" w:eastAsia="zh-CN"/>
        </w:rPr>
        <w:t>台州市立医院</w:t>
      </w:r>
    </w:p>
    <w:p w14:paraId="78CE38F2">
      <w:pPr>
        <w:pStyle w:val="2"/>
        <w:jc w:val="center"/>
      </w:pPr>
      <w:r>
        <w:rPr>
          <w:rFonts w:hint="eastAsia" w:ascii="宋体" w:hAnsi="宋体" w:eastAsia="宋体" w:cs="宋体"/>
          <w:b/>
          <w:bCs/>
          <w:sz w:val="52"/>
          <w:szCs w:val="52"/>
          <w:lang w:val="en-US" w:eastAsia="zh-CN"/>
        </w:rPr>
        <w:t>药物临床试验机构简介</w:t>
      </w:r>
      <w:r>
        <w:drawing>
          <wp:inline distT="0" distB="0" distL="114300" distR="114300">
            <wp:extent cx="4083050" cy="2703830"/>
            <wp:effectExtent l="0" t="0" r="1270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4083050" cy="2703830"/>
                    </a:xfrm>
                    <a:prstGeom prst="rect">
                      <a:avLst/>
                    </a:prstGeom>
                    <a:noFill/>
                    <a:ln>
                      <a:noFill/>
                    </a:ln>
                  </pic:spPr>
                </pic:pic>
              </a:graphicData>
            </a:graphic>
          </wp:inline>
        </w:drawing>
      </w:r>
    </w:p>
    <w:p w14:paraId="4A801826">
      <w:pPr>
        <w:jc w:val="center"/>
      </w:pPr>
    </w:p>
    <w:p w14:paraId="2D39B27B">
      <w:pPr>
        <w:jc w:val="center"/>
      </w:pPr>
    </w:p>
    <w:p w14:paraId="53AEC745">
      <w:pPr>
        <w:jc w:val="center"/>
        <w:rPr>
          <w:rFonts w:hint="default" w:ascii="Times New Roman" w:hAnsi="Times New Roman" w:cs="Times New Roman"/>
          <w:b/>
          <w:bCs/>
          <w:color w:val="0000FF"/>
          <w:sz w:val="28"/>
          <w:szCs w:val="28"/>
          <w:lang w:val="en-US" w:eastAsia="zh-CN"/>
        </w:rPr>
      </w:pPr>
      <w:r>
        <w:rPr>
          <w:rFonts w:hint="eastAsia" w:ascii="Times New Roman" w:hAnsi="Times New Roman" w:cs="Times New Roman"/>
          <w:b/>
          <w:bCs/>
          <w:color w:val="0000FF"/>
          <w:sz w:val="28"/>
          <w:szCs w:val="28"/>
          <w:lang w:val="en-US" w:eastAsia="zh-CN"/>
        </w:rPr>
        <w:t>2025.03.11</w:t>
      </w:r>
    </w:p>
    <w:p w14:paraId="3C551B0C">
      <w:pPr>
        <w:rPr>
          <w:rFonts w:hint="eastAsia"/>
          <w:lang w:val="en-US" w:eastAsia="zh-CN"/>
        </w:rPr>
      </w:pPr>
      <w:r>
        <w:rPr>
          <w:rFonts w:hint="eastAsia"/>
          <w:lang w:val="en-US" w:eastAsia="zh-CN"/>
        </w:rPr>
        <w:br w:type="page"/>
      </w:r>
    </w:p>
    <w:p w14:paraId="038D546B">
      <w:pPr>
        <w:rPr>
          <w:rStyle w:val="8"/>
          <w:rFonts w:hint="eastAsia" w:ascii="Times New Roman" w:hAnsi="Times New Roman" w:eastAsia="宋体" w:cs="Times New Roman"/>
          <w:i w:val="0"/>
          <w:iCs w:val="0"/>
          <w:caps w:val="0"/>
          <w:color w:val="206457"/>
          <w:spacing w:val="0"/>
          <w:kern w:val="2"/>
          <w:sz w:val="28"/>
          <w:szCs w:val="28"/>
          <w:lang w:val="en-US" w:eastAsia="zh-CN" w:bidi="ar-SA"/>
        </w:rPr>
        <w:sectPr>
          <w:pgSz w:w="11906" w:h="16838"/>
          <w:pgMar w:top="1134" w:right="1800" w:bottom="1134" w:left="1800" w:header="851" w:footer="992" w:gutter="0"/>
          <w:cols w:space="425" w:num="1"/>
          <w:docGrid w:type="lines" w:linePitch="312" w:charSpace="0"/>
        </w:sectPr>
      </w:pPr>
    </w:p>
    <w:p w14:paraId="06DF0275">
      <w:pPr>
        <w:ind w:firstLine="480" w:firstLineChars="200"/>
        <w:jc w:val="left"/>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台州市立医院（台州学院附属市立医院）是一所集医疗、科研和教学为一体的三级乙等综合性公立医院，核定床位1200张。年门急诊人次近190万人次，出院人次超6万人次。医院配备了3.0T磁共振、256排极速能谱CT、DSA、高端超声诊断仪、全自动检验流水线、超声内镜、钬激光等现代化医疗设备。</w:t>
      </w:r>
    </w:p>
    <w:p w14:paraId="5C98DAD4">
      <w:pPr>
        <w:ind w:firstLine="480" w:firstLineChars="200"/>
        <w:jc w:val="left"/>
        <w:rPr>
          <w:rStyle w:val="7"/>
          <w:rFonts w:hint="eastAsia" w:ascii="微软雅黑" w:hAnsi="微软雅黑" w:eastAsia="微软雅黑" w:cs="微软雅黑"/>
          <w:i w:val="0"/>
          <w:iCs w:val="0"/>
          <w:caps w:val="0"/>
          <w:color w:val="auto"/>
          <w:spacing w:val="0"/>
          <w:kern w:val="2"/>
          <w:sz w:val="24"/>
          <w:szCs w:val="24"/>
          <w:lang w:val="en-US" w:eastAsia="zh-CN" w:bidi="ar-SA"/>
        </w:rPr>
      </w:pPr>
      <w:r>
        <w:rPr>
          <w:rFonts w:hint="eastAsia" w:ascii="微软雅黑" w:hAnsi="微软雅黑" w:eastAsia="微软雅黑" w:cs="微软雅黑"/>
          <w:sz w:val="24"/>
          <w:lang w:val="en-US" w:eastAsia="zh-CN"/>
        </w:rPr>
        <w:t>医院于2019年被国家药品监督管理局批准为药物临床试验机构，完成药物和医疗器械临床试验机构备案。其中药物备案专业有（药临床机构备字2020000963）：内分泌科、神经内科、重症医学科、感染科、皮肤科、呼吸内科、心血管内科、消化内科、血液肿瘤内科、妇科、普通外科、泌尿外科、麻醉科、肿瘤介入科；器械备案专业有（械临机构备202300084）：神经内科、皮肤科、妇科、普通外科、泌尿外科、骨科、耳鼻咽喉科、神经外科、医疗美容科、康复医学科、医学检验科。</w:t>
      </w:r>
    </w:p>
    <w:p w14:paraId="4F9C38B0">
      <w:pPr>
        <w:ind w:firstLine="480" w:firstLineChars="200"/>
        <w:jc w:val="left"/>
        <w:rPr>
          <w:rStyle w:val="7"/>
          <w:rFonts w:hint="eastAsia" w:ascii="微软雅黑" w:hAnsi="微软雅黑" w:eastAsia="微软雅黑" w:cs="微软雅黑"/>
          <w:i w:val="0"/>
          <w:iCs w:val="0"/>
          <w:caps w:val="0"/>
          <w:color w:val="auto"/>
          <w:spacing w:val="0"/>
          <w:kern w:val="2"/>
          <w:sz w:val="24"/>
          <w:szCs w:val="24"/>
          <w:lang w:val="en-US" w:eastAsia="zh-CN" w:bidi="ar-SA"/>
        </w:rPr>
      </w:pPr>
      <w:r>
        <w:rPr>
          <w:rStyle w:val="7"/>
          <w:rFonts w:hint="eastAsia" w:ascii="微软雅黑" w:hAnsi="微软雅黑" w:eastAsia="微软雅黑" w:cs="微软雅黑"/>
          <w:i w:val="0"/>
          <w:iCs w:val="0"/>
          <w:caps w:val="0"/>
          <w:color w:val="auto"/>
          <w:spacing w:val="0"/>
          <w:kern w:val="2"/>
          <w:sz w:val="24"/>
          <w:szCs w:val="24"/>
          <w:lang w:val="en-US" w:eastAsia="zh-CN" w:bidi="ar-SA"/>
        </w:rPr>
        <w:t>我院项目立项流程简洁、专职对接，立项迅速，伦理、立项、合同平行进行，力求保证临床试验项目快速立项、快速审批、快速启动，承诺在申办方递交完整材料一个月内启动项目</w:t>
      </w:r>
      <w:r>
        <w:rPr>
          <w:rFonts w:hint="eastAsia" w:ascii="微软雅黑" w:hAnsi="微软雅黑" w:eastAsia="微软雅黑" w:cs="微软雅黑"/>
          <w:i w:val="0"/>
          <w:iCs w:val="0"/>
          <w:caps w:val="0"/>
          <w:spacing w:val="0"/>
          <w:kern w:val="2"/>
          <w:sz w:val="24"/>
          <w:szCs w:val="24"/>
          <w:lang w:val="en-US" w:eastAsia="zh-CN" w:bidi="ar-SA"/>
        </w:rPr>
        <w:t>；专业科室</w:t>
      </w:r>
      <w:r>
        <w:rPr>
          <w:rFonts w:hint="eastAsia" w:ascii="微软雅黑" w:hAnsi="微软雅黑" w:eastAsia="微软雅黑" w:cs="微软雅黑"/>
          <w:i w:val="0"/>
          <w:iCs w:val="0"/>
          <w:caps w:val="0"/>
          <w:spacing w:val="0"/>
          <w:kern w:val="2"/>
          <w:sz w:val="24"/>
          <w:szCs w:val="24"/>
          <w:shd w:val="clear"/>
          <w:lang w:val="en-US" w:eastAsia="zh-CN" w:bidi="ar-SA"/>
        </w:rPr>
        <w:t>定期开展临床试验知识</w:t>
      </w:r>
      <w:r>
        <w:rPr>
          <w:rFonts w:hint="eastAsia" w:ascii="微软雅黑" w:hAnsi="微软雅黑" w:eastAsia="微软雅黑" w:cs="微软雅黑"/>
          <w:i w:val="0"/>
          <w:iCs w:val="0"/>
          <w:caps w:val="0"/>
          <w:spacing w:val="0"/>
          <w:kern w:val="2"/>
          <w:sz w:val="24"/>
          <w:szCs w:val="24"/>
          <w:shd w:val="clear" w:fill="auto"/>
          <w:lang w:val="en-US" w:eastAsia="zh-CN" w:bidi="ar-SA"/>
        </w:rPr>
        <w:t>培训</w:t>
      </w:r>
      <w:r>
        <w:rPr>
          <w:rFonts w:hint="eastAsia" w:ascii="微软雅黑" w:hAnsi="微软雅黑" w:eastAsia="微软雅黑" w:cs="微软雅黑"/>
          <w:i w:val="0"/>
          <w:iCs w:val="0"/>
          <w:caps w:val="0"/>
          <w:spacing w:val="0"/>
          <w:kern w:val="2"/>
          <w:sz w:val="24"/>
          <w:szCs w:val="24"/>
          <w:shd w:val="clear"/>
          <w:lang w:val="en-US" w:eastAsia="zh-CN" w:bidi="ar-SA"/>
        </w:rPr>
        <w:t>，严格落实质控，</w:t>
      </w:r>
      <w:r>
        <w:rPr>
          <w:rStyle w:val="7"/>
          <w:rFonts w:hint="eastAsia" w:ascii="微软雅黑" w:hAnsi="微软雅黑" w:eastAsia="微软雅黑" w:cs="微软雅黑"/>
          <w:i w:val="0"/>
          <w:iCs w:val="0"/>
          <w:caps w:val="0"/>
          <w:color w:val="auto"/>
          <w:spacing w:val="0"/>
          <w:kern w:val="2"/>
          <w:sz w:val="24"/>
          <w:szCs w:val="24"/>
          <w:lang w:val="en-US" w:eastAsia="zh-CN" w:bidi="ar-SA"/>
        </w:rPr>
        <w:t>保证临床试验项目</w:t>
      </w:r>
      <w:r>
        <w:rPr>
          <w:rFonts w:hint="eastAsia" w:ascii="微软雅黑" w:hAnsi="微软雅黑" w:eastAsia="微软雅黑" w:cs="微软雅黑"/>
          <w:i w:val="0"/>
          <w:iCs w:val="0"/>
          <w:caps w:val="0"/>
          <w:spacing w:val="0"/>
          <w:kern w:val="2"/>
          <w:sz w:val="24"/>
          <w:szCs w:val="24"/>
          <w:lang w:val="en-US" w:eastAsia="zh-CN" w:bidi="ar-SA"/>
        </w:rPr>
        <w:t>优质</w:t>
      </w:r>
      <w:r>
        <w:rPr>
          <w:rStyle w:val="7"/>
          <w:rFonts w:hint="eastAsia" w:ascii="微软雅黑" w:hAnsi="微软雅黑" w:eastAsia="微软雅黑" w:cs="微软雅黑"/>
          <w:i w:val="0"/>
          <w:iCs w:val="0"/>
          <w:caps w:val="0"/>
          <w:color w:val="auto"/>
          <w:spacing w:val="0"/>
          <w:kern w:val="2"/>
          <w:sz w:val="24"/>
          <w:szCs w:val="24"/>
          <w:lang w:val="en-US" w:eastAsia="zh-CN" w:bidi="ar-SA"/>
        </w:rPr>
        <w:t>高效完成。对在本院开展临床试验项目企业的药械优先考虑进院准入。</w:t>
      </w:r>
    </w:p>
    <w:p w14:paraId="5D284E45">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49256FDF">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03C035A3">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51E0B4F8">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522F9F76">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60F3C134">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30E7E2E4">
      <w:pPr>
        <w:rPr>
          <w:rStyle w:val="8"/>
          <w:rFonts w:hint="default" w:ascii="Times New Roman" w:hAnsi="Times New Roman" w:eastAsia="宋体" w:cs="Times New Roman"/>
          <w:i w:val="0"/>
          <w:iCs w:val="0"/>
          <w:caps w:val="0"/>
          <w:color w:val="206457"/>
          <w:spacing w:val="0"/>
          <w:kern w:val="2"/>
          <w:sz w:val="28"/>
          <w:szCs w:val="28"/>
          <w:lang w:val="en-US" w:eastAsia="zh-CN" w:bidi="ar-SA"/>
        </w:rPr>
      </w:pPr>
    </w:p>
    <w:p w14:paraId="69600A21">
      <w:pPr>
        <w:ind w:firstLine="480" w:firstLineChars="200"/>
        <w:jc w:val="left"/>
        <w:rPr>
          <w:rStyle w:val="7"/>
          <w:rFonts w:hint="eastAsia" w:ascii="微软雅黑" w:hAnsi="微软雅黑" w:eastAsia="微软雅黑" w:cs="微软雅黑"/>
          <w:i w:val="0"/>
          <w:iCs w:val="0"/>
          <w:caps w:val="0"/>
          <w:color w:val="auto"/>
          <w:spacing w:val="0"/>
          <w:kern w:val="2"/>
          <w:sz w:val="24"/>
          <w:szCs w:val="24"/>
          <w:lang w:val="en-US" w:eastAsia="zh-CN" w:bidi="ar-SA"/>
        </w:rPr>
      </w:pPr>
      <w:r>
        <w:rPr>
          <w:rStyle w:val="7"/>
          <w:rFonts w:ascii="微软雅黑" w:hAnsi="微软雅黑" w:eastAsia="微软雅黑" w:cs="微软雅黑"/>
          <w:color w:val="auto"/>
          <w:sz w:val="24"/>
        </w:rPr>
        <w:t>截至</w:t>
      </w:r>
      <w:r>
        <w:rPr>
          <w:rStyle w:val="7"/>
          <w:rFonts w:hint="eastAsia" w:ascii="微软雅黑" w:hAnsi="微软雅黑" w:eastAsia="微软雅黑" w:cs="微软雅黑"/>
          <w:color w:val="auto"/>
          <w:sz w:val="24"/>
        </w:rPr>
        <w:t>2025</w:t>
      </w:r>
      <w:r>
        <w:rPr>
          <w:rStyle w:val="7"/>
          <w:rFonts w:ascii="微软雅黑" w:hAnsi="微软雅黑" w:eastAsia="微软雅黑" w:cs="微软雅黑"/>
          <w:color w:val="auto"/>
          <w:sz w:val="24"/>
        </w:rPr>
        <w:t>年</w:t>
      </w:r>
      <w:r>
        <w:rPr>
          <w:rStyle w:val="7"/>
          <w:rFonts w:hint="eastAsia" w:ascii="微软雅黑" w:hAnsi="微软雅黑" w:eastAsia="微软雅黑" w:cs="微软雅黑"/>
          <w:color w:val="auto"/>
          <w:sz w:val="24"/>
        </w:rPr>
        <w:t>2</w:t>
      </w:r>
      <w:r>
        <w:rPr>
          <w:rStyle w:val="7"/>
          <w:rFonts w:ascii="微软雅黑" w:hAnsi="微软雅黑" w:eastAsia="微软雅黑" w:cs="微软雅黑"/>
          <w:color w:val="auto"/>
          <w:sz w:val="24"/>
        </w:rPr>
        <w:t>月</w:t>
      </w:r>
      <w:r>
        <w:rPr>
          <w:rStyle w:val="7"/>
          <w:rFonts w:hint="eastAsia" w:ascii="微软雅黑" w:hAnsi="微软雅黑" w:eastAsia="微软雅黑" w:cs="微软雅黑"/>
          <w:color w:val="auto"/>
          <w:sz w:val="24"/>
        </w:rPr>
        <w:t>26</w:t>
      </w:r>
      <w:r>
        <w:rPr>
          <w:rStyle w:val="7"/>
          <w:rFonts w:ascii="微软雅黑" w:hAnsi="微软雅黑" w:eastAsia="微软雅黑" w:cs="微软雅黑"/>
          <w:color w:val="auto"/>
          <w:sz w:val="24"/>
        </w:rPr>
        <w:t>日，机构共承接62项临床研究项目：其中</w:t>
      </w:r>
      <w:r>
        <w:rPr>
          <w:rStyle w:val="7"/>
          <w:rFonts w:hint="eastAsia" w:ascii="微软雅黑" w:hAnsi="微软雅黑" w:eastAsia="微软雅黑" w:cs="微软雅黑"/>
          <w:color w:val="auto"/>
          <w:sz w:val="24"/>
        </w:rPr>
        <w:t>35</w:t>
      </w:r>
      <w:r>
        <w:rPr>
          <w:rStyle w:val="7"/>
          <w:rFonts w:ascii="微软雅黑" w:hAnsi="微软雅黑" w:eastAsia="微软雅黑" w:cs="微软雅黑"/>
          <w:color w:val="auto"/>
          <w:sz w:val="24"/>
        </w:rPr>
        <w:t>项</w:t>
      </w:r>
      <w:r>
        <w:rPr>
          <w:rStyle w:val="7"/>
          <w:rFonts w:hint="eastAsia" w:ascii="微软雅黑" w:hAnsi="微软雅黑" w:eastAsia="微软雅黑" w:cs="微软雅黑"/>
          <w:color w:val="auto"/>
          <w:sz w:val="24"/>
        </w:rPr>
        <w:t>II-IV期</w:t>
      </w:r>
      <w:r>
        <w:rPr>
          <w:rStyle w:val="7"/>
          <w:rFonts w:ascii="微软雅黑" w:hAnsi="微软雅黑" w:eastAsia="微软雅黑" w:cs="微软雅黑"/>
          <w:color w:val="auto"/>
          <w:sz w:val="24"/>
        </w:rPr>
        <w:t>注册临床试验（内分泌科</w:t>
      </w:r>
      <w:r>
        <w:rPr>
          <w:rStyle w:val="7"/>
          <w:rFonts w:hint="eastAsia" w:ascii="微软雅黑" w:hAnsi="微软雅黑" w:eastAsia="微软雅黑" w:cs="微软雅黑"/>
          <w:color w:val="auto"/>
          <w:sz w:val="24"/>
        </w:rPr>
        <w:t>13</w:t>
      </w:r>
      <w:r>
        <w:rPr>
          <w:rStyle w:val="7"/>
          <w:rFonts w:ascii="微软雅黑" w:hAnsi="微软雅黑" w:eastAsia="微软雅黑" w:cs="微软雅黑"/>
          <w:color w:val="auto"/>
          <w:sz w:val="24"/>
        </w:rPr>
        <w:t>项，神经内科</w:t>
      </w:r>
      <w:r>
        <w:rPr>
          <w:rStyle w:val="7"/>
          <w:rFonts w:hint="eastAsia" w:ascii="微软雅黑" w:hAnsi="微软雅黑" w:eastAsia="微软雅黑" w:cs="微软雅黑"/>
          <w:color w:val="auto"/>
          <w:sz w:val="24"/>
        </w:rPr>
        <w:t>6</w:t>
      </w:r>
      <w:r>
        <w:rPr>
          <w:rStyle w:val="7"/>
          <w:rFonts w:ascii="微软雅黑" w:hAnsi="微软雅黑" w:eastAsia="微软雅黑" w:cs="微软雅黑"/>
          <w:color w:val="auto"/>
          <w:sz w:val="24"/>
        </w:rPr>
        <w:t>项，医学检验科</w:t>
      </w:r>
      <w:r>
        <w:rPr>
          <w:rStyle w:val="7"/>
          <w:rFonts w:hint="eastAsia" w:ascii="微软雅黑" w:hAnsi="微软雅黑" w:eastAsia="微软雅黑" w:cs="微软雅黑"/>
          <w:color w:val="auto"/>
          <w:sz w:val="24"/>
        </w:rPr>
        <w:t>5</w:t>
      </w:r>
      <w:r>
        <w:rPr>
          <w:rStyle w:val="7"/>
          <w:rFonts w:ascii="微软雅黑" w:hAnsi="微软雅黑" w:eastAsia="微软雅黑" w:cs="微软雅黑"/>
          <w:color w:val="auto"/>
          <w:sz w:val="24"/>
        </w:rPr>
        <w:t>项，皮肤科</w:t>
      </w:r>
      <w:r>
        <w:rPr>
          <w:rStyle w:val="7"/>
          <w:rFonts w:hint="eastAsia" w:ascii="微软雅黑" w:hAnsi="微软雅黑" w:eastAsia="微软雅黑" w:cs="微软雅黑"/>
          <w:color w:val="auto"/>
          <w:sz w:val="24"/>
        </w:rPr>
        <w:t>4</w:t>
      </w:r>
      <w:r>
        <w:rPr>
          <w:rStyle w:val="7"/>
          <w:rFonts w:ascii="微软雅黑" w:hAnsi="微软雅黑" w:eastAsia="微软雅黑" w:cs="微软雅黑"/>
          <w:color w:val="auto"/>
          <w:sz w:val="24"/>
        </w:rPr>
        <w:t>项，妇科</w:t>
      </w:r>
      <w:r>
        <w:rPr>
          <w:rStyle w:val="7"/>
          <w:rFonts w:hint="eastAsia" w:ascii="微软雅黑" w:hAnsi="微软雅黑" w:eastAsia="微软雅黑" w:cs="微软雅黑"/>
          <w:color w:val="auto"/>
          <w:sz w:val="24"/>
        </w:rPr>
        <w:t>2</w:t>
      </w:r>
      <w:r>
        <w:rPr>
          <w:rStyle w:val="7"/>
          <w:rFonts w:ascii="微软雅黑" w:hAnsi="微软雅黑" w:eastAsia="微软雅黑" w:cs="微软雅黑"/>
          <w:color w:val="auto"/>
          <w:sz w:val="24"/>
        </w:rPr>
        <w:t>项，重症医学科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项，血液</w:t>
      </w:r>
      <w:r>
        <w:rPr>
          <w:rStyle w:val="7"/>
          <w:rFonts w:hint="eastAsia" w:ascii="微软雅黑" w:hAnsi="微软雅黑" w:eastAsia="微软雅黑" w:cs="微软雅黑"/>
          <w:color w:val="auto"/>
          <w:sz w:val="24"/>
          <w:lang w:val="en-US" w:eastAsia="zh-CN"/>
        </w:rPr>
        <w:t>肿瘤</w:t>
      </w:r>
      <w:r>
        <w:rPr>
          <w:rStyle w:val="7"/>
          <w:rFonts w:ascii="微软雅黑" w:hAnsi="微软雅黑" w:eastAsia="微软雅黑" w:cs="微软雅黑"/>
          <w:color w:val="auto"/>
          <w:sz w:val="24"/>
        </w:rPr>
        <w:t>内科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项，感染科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项，呼吸内科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项，消化内科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w:t>
      </w:r>
      <w:r>
        <w:rPr>
          <w:rStyle w:val="7"/>
          <w:rFonts w:hint="eastAsia" w:ascii="微软雅黑" w:hAnsi="微软雅黑" w:eastAsia="微软雅黑" w:cs="微软雅黑"/>
          <w:color w:val="auto"/>
          <w:sz w:val="24"/>
        </w:rPr>
        <w:t>27</w:t>
      </w:r>
      <w:r>
        <w:rPr>
          <w:rStyle w:val="7"/>
          <w:rFonts w:ascii="微软雅黑" w:hAnsi="微软雅黑" w:eastAsia="微软雅黑" w:cs="微软雅黑"/>
          <w:color w:val="auto"/>
          <w:sz w:val="24"/>
        </w:rPr>
        <w:t>项非注册临床试验（神经内科</w:t>
      </w:r>
      <w:r>
        <w:rPr>
          <w:rStyle w:val="7"/>
          <w:rFonts w:hint="eastAsia" w:ascii="微软雅黑" w:hAnsi="微软雅黑" w:eastAsia="微软雅黑" w:cs="微软雅黑"/>
          <w:color w:val="auto"/>
          <w:sz w:val="24"/>
        </w:rPr>
        <w:t>6</w:t>
      </w:r>
      <w:r>
        <w:rPr>
          <w:rStyle w:val="7"/>
          <w:rFonts w:ascii="微软雅黑" w:hAnsi="微软雅黑" w:eastAsia="微软雅黑" w:cs="微软雅黑"/>
          <w:color w:val="auto"/>
          <w:sz w:val="24"/>
        </w:rPr>
        <w:t>项，内分泌科</w:t>
      </w:r>
      <w:r>
        <w:rPr>
          <w:rStyle w:val="7"/>
          <w:rFonts w:hint="eastAsia" w:ascii="微软雅黑" w:hAnsi="微软雅黑" w:eastAsia="微软雅黑" w:cs="微软雅黑"/>
          <w:color w:val="auto"/>
          <w:sz w:val="24"/>
        </w:rPr>
        <w:t>4</w:t>
      </w:r>
      <w:r>
        <w:rPr>
          <w:rStyle w:val="7"/>
          <w:rFonts w:ascii="微软雅黑" w:hAnsi="微软雅黑" w:eastAsia="微软雅黑" w:cs="微软雅黑"/>
          <w:color w:val="auto"/>
          <w:sz w:val="24"/>
        </w:rPr>
        <w:t>项，呼吸内科</w:t>
      </w:r>
      <w:r>
        <w:rPr>
          <w:rStyle w:val="7"/>
          <w:rFonts w:hint="eastAsia" w:ascii="微软雅黑" w:hAnsi="微软雅黑" w:eastAsia="微软雅黑" w:cs="微软雅黑"/>
          <w:color w:val="auto"/>
          <w:sz w:val="24"/>
        </w:rPr>
        <w:t>3</w:t>
      </w:r>
      <w:r>
        <w:rPr>
          <w:rStyle w:val="7"/>
          <w:rFonts w:ascii="微软雅黑" w:hAnsi="微软雅黑" w:eastAsia="微软雅黑" w:cs="微软雅黑"/>
          <w:color w:val="auto"/>
          <w:sz w:val="24"/>
        </w:rPr>
        <w:t>项，血液</w:t>
      </w:r>
      <w:r>
        <w:rPr>
          <w:rStyle w:val="7"/>
          <w:rFonts w:hint="eastAsia" w:ascii="微软雅黑" w:hAnsi="微软雅黑" w:eastAsia="微软雅黑" w:cs="微软雅黑"/>
          <w:color w:val="auto"/>
          <w:sz w:val="24"/>
          <w:lang w:val="en-US" w:eastAsia="zh-CN"/>
        </w:rPr>
        <w:t>肿瘤</w:t>
      </w:r>
      <w:r>
        <w:rPr>
          <w:rStyle w:val="7"/>
          <w:rFonts w:ascii="微软雅黑" w:hAnsi="微软雅黑" w:eastAsia="微软雅黑" w:cs="微软雅黑"/>
          <w:color w:val="auto"/>
          <w:sz w:val="24"/>
        </w:rPr>
        <w:t>内科</w:t>
      </w:r>
      <w:r>
        <w:rPr>
          <w:rStyle w:val="7"/>
          <w:rFonts w:hint="eastAsia" w:ascii="微软雅黑" w:hAnsi="微软雅黑" w:eastAsia="微软雅黑" w:cs="微软雅黑"/>
          <w:color w:val="auto"/>
          <w:sz w:val="24"/>
        </w:rPr>
        <w:t>3</w:t>
      </w:r>
      <w:r>
        <w:rPr>
          <w:rStyle w:val="7"/>
          <w:rFonts w:ascii="微软雅黑" w:hAnsi="微软雅黑" w:eastAsia="微软雅黑" w:cs="微软雅黑"/>
          <w:color w:val="auto"/>
          <w:sz w:val="24"/>
        </w:rPr>
        <w:t>项，心血管内科</w:t>
      </w:r>
      <w:r>
        <w:rPr>
          <w:rStyle w:val="7"/>
          <w:rFonts w:hint="eastAsia" w:ascii="微软雅黑" w:hAnsi="微软雅黑" w:eastAsia="微软雅黑" w:cs="微软雅黑"/>
          <w:color w:val="auto"/>
          <w:sz w:val="24"/>
        </w:rPr>
        <w:t>3</w:t>
      </w:r>
      <w:r>
        <w:rPr>
          <w:rStyle w:val="7"/>
          <w:rFonts w:ascii="微软雅黑" w:hAnsi="微软雅黑" w:eastAsia="微软雅黑" w:cs="微软雅黑"/>
          <w:color w:val="auto"/>
          <w:sz w:val="24"/>
        </w:rPr>
        <w:t>项，肿瘤</w:t>
      </w:r>
      <w:r>
        <w:rPr>
          <w:rStyle w:val="7"/>
          <w:rFonts w:hint="eastAsia" w:ascii="微软雅黑" w:hAnsi="微软雅黑" w:eastAsia="微软雅黑" w:cs="微软雅黑"/>
          <w:color w:val="auto"/>
          <w:sz w:val="24"/>
          <w:lang w:val="en-US" w:eastAsia="zh-CN"/>
        </w:rPr>
        <w:t>介入</w:t>
      </w:r>
      <w:r>
        <w:rPr>
          <w:rStyle w:val="7"/>
          <w:rFonts w:ascii="微软雅黑" w:hAnsi="微软雅黑" w:eastAsia="微软雅黑" w:cs="微软雅黑"/>
          <w:color w:val="auto"/>
          <w:sz w:val="24"/>
        </w:rPr>
        <w:t>科</w:t>
      </w:r>
      <w:r>
        <w:rPr>
          <w:rStyle w:val="7"/>
          <w:rFonts w:hint="eastAsia" w:ascii="微软雅黑" w:hAnsi="微软雅黑" w:eastAsia="微软雅黑" w:cs="微软雅黑"/>
          <w:color w:val="auto"/>
          <w:sz w:val="24"/>
        </w:rPr>
        <w:t>2</w:t>
      </w:r>
      <w:r>
        <w:rPr>
          <w:rStyle w:val="7"/>
          <w:rFonts w:ascii="微软雅黑" w:hAnsi="微软雅黑" w:eastAsia="微软雅黑" w:cs="微软雅黑"/>
          <w:color w:val="auto"/>
          <w:sz w:val="24"/>
        </w:rPr>
        <w:t>项，感染科</w:t>
      </w:r>
      <w:r>
        <w:rPr>
          <w:rStyle w:val="7"/>
          <w:rFonts w:hint="eastAsia" w:ascii="微软雅黑" w:hAnsi="微软雅黑" w:eastAsia="微软雅黑" w:cs="微软雅黑"/>
          <w:color w:val="auto"/>
          <w:sz w:val="24"/>
        </w:rPr>
        <w:t>2</w:t>
      </w:r>
      <w:r>
        <w:rPr>
          <w:rStyle w:val="7"/>
          <w:rFonts w:ascii="微软雅黑" w:hAnsi="微软雅黑" w:eastAsia="微软雅黑" w:cs="微软雅黑"/>
          <w:color w:val="auto"/>
          <w:sz w:val="24"/>
        </w:rPr>
        <w:t>项，骨科</w:t>
      </w:r>
      <w:r>
        <w:rPr>
          <w:rStyle w:val="7"/>
          <w:rFonts w:hint="eastAsia" w:ascii="微软雅黑" w:hAnsi="微软雅黑" w:eastAsia="微软雅黑" w:cs="微软雅黑"/>
          <w:color w:val="auto"/>
          <w:sz w:val="24"/>
        </w:rPr>
        <w:t>2</w:t>
      </w:r>
      <w:r>
        <w:rPr>
          <w:rStyle w:val="7"/>
          <w:rFonts w:ascii="微软雅黑" w:hAnsi="微软雅黑" w:eastAsia="微软雅黑" w:cs="微软雅黑"/>
          <w:color w:val="auto"/>
          <w:sz w:val="24"/>
        </w:rPr>
        <w:t>项，消化内科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项，风湿免疫肾内科</w:t>
      </w:r>
      <w:r>
        <w:rPr>
          <w:rStyle w:val="7"/>
          <w:rFonts w:hint="eastAsia" w:ascii="微软雅黑" w:hAnsi="微软雅黑" w:eastAsia="微软雅黑" w:cs="微软雅黑"/>
          <w:color w:val="auto"/>
          <w:sz w:val="24"/>
        </w:rPr>
        <w:t>1</w:t>
      </w:r>
      <w:r>
        <w:rPr>
          <w:rStyle w:val="7"/>
          <w:rFonts w:ascii="微软雅黑" w:hAnsi="微软雅黑" w:eastAsia="微软雅黑" w:cs="微软雅黑"/>
          <w:color w:val="auto"/>
          <w:sz w:val="24"/>
        </w:rPr>
        <w:t>项）。具体情况见下表：</w:t>
      </w:r>
    </w:p>
    <w:tbl>
      <w:tblPr>
        <w:tblStyle w:val="5"/>
        <w:tblW w:w="108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7"/>
        <w:gridCol w:w="990"/>
        <w:gridCol w:w="1571"/>
        <w:gridCol w:w="7504"/>
      </w:tblGrid>
      <w:tr w14:paraId="43D69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B4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序号</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10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类别</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52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专业</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1E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已开展项目汇总</w:t>
            </w:r>
          </w:p>
        </w:tc>
      </w:tr>
      <w:tr w14:paraId="1C3A3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48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84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D7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A1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在2</w:t>
            </w:r>
            <w:r>
              <w:rPr>
                <w:rStyle w:val="12"/>
                <w:rFonts w:hint="default" w:ascii="Times New Roman" w:hAnsi="Times New Roman" w:eastAsia="宋体" w:cs="Times New Roman"/>
                <w:sz w:val="18"/>
                <w:szCs w:val="18"/>
                <w:lang w:val="en-US" w:eastAsia="zh-CN" w:bidi="ar"/>
              </w:rPr>
              <w:t>型糖尿病受试者中评价</w:t>
            </w:r>
            <w:r>
              <w:rPr>
                <w:rFonts w:hint="default" w:ascii="Times New Roman" w:hAnsi="Times New Roman" w:eastAsia="宋体" w:cs="Times New Roman"/>
                <w:i w:val="0"/>
                <w:iCs w:val="0"/>
                <w:color w:val="000000"/>
                <w:kern w:val="0"/>
                <w:sz w:val="18"/>
                <w:szCs w:val="18"/>
                <w:u w:val="none"/>
                <w:lang w:val="en-US" w:eastAsia="zh-CN" w:bidi="ar"/>
              </w:rPr>
              <w:t>HS-20094</w:t>
            </w:r>
            <w:r>
              <w:rPr>
                <w:rStyle w:val="12"/>
                <w:rFonts w:hint="default" w:ascii="Times New Roman" w:hAnsi="Times New Roman" w:eastAsia="宋体" w:cs="Times New Roman"/>
                <w:sz w:val="18"/>
                <w:szCs w:val="18"/>
                <w:lang w:val="en-US" w:eastAsia="zh-CN" w:bidi="ar"/>
              </w:rPr>
              <w:t>多次给药的安全性、耐受性、药代动力学和药效学的随机、双盲、安慰剂和阳性对照的</w:t>
            </w:r>
            <w:r>
              <w:rPr>
                <w:rFonts w:hint="default" w:ascii="Times New Roman" w:hAnsi="Times New Roman" w:eastAsia="宋体" w:cs="Times New Roman"/>
                <w:i w:val="0"/>
                <w:iCs w:val="0"/>
                <w:color w:val="000000"/>
                <w:kern w:val="0"/>
                <w:sz w:val="18"/>
                <w:szCs w:val="18"/>
                <w:u w:val="none"/>
                <w:lang w:val="en-US" w:eastAsia="zh-CN" w:bidi="ar"/>
              </w:rPr>
              <w:t>Ⅱa</w:t>
            </w:r>
            <w:r>
              <w:rPr>
                <w:rStyle w:val="12"/>
                <w:rFonts w:hint="default" w:ascii="Times New Roman" w:hAnsi="Times New Roman" w:eastAsia="宋体" w:cs="Times New Roman"/>
                <w:sz w:val="18"/>
                <w:szCs w:val="18"/>
                <w:lang w:val="en-US" w:eastAsia="zh-CN" w:bidi="ar"/>
              </w:rPr>
              <w:t>期临床试验</w:t>
            </w:r>
          </w:p>
        </w:tc>
      </w:tr>
      <w:tr w14:paraId="750B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64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37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2B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A9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多中心、随机、双盲、安慰剂平行对照试验探索性研究硝酮嗪治疗2</w:t>
            </w:r>
            <w:r>
              <w:rPr>
                <w:rStyle w:val="12"/>
                <w:rFonts w:hint="default" w:ascii="Times New Roman" w:hAnsi="Times New Roman" w:eastAsia="宋体" w:cs="Times New Roman"/>
                <w:sz w:val="18"/>
                <w:szCs w:val="18"/>
                <w:lang w:val="en-US" w:eastAsia="zh-CN" w:bidi="ar"/>
              </w:rPr>
              <w:t>型糖尿病肾病患者的有效性和安全性</w:t>
            </w:r>
          </w:p>
        </w:tc>
      </w:tr>
      <w:tr w14:paraId="5FF99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08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05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20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09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评价 SPH3127 </w:t>
            </w:r>
            <w:r>
              <w:rPr>
                <w:rStyle w:val="12"/>
                <w:rFonts w:hint="default" w:ascii="Times New Roman" w:hAnsi="Times New Roman" w:eastAsia="宋体" w:cs="Times New Roman"/>
                <w:sz w:val="18"/>
                <w:szCs w:val="18"/>
                <w:lang w:val="en-US" w:eastAsia="zh-CN" w:bidi="ar"/>
              </w:rPr>
              <w:t>片治疗糖尿病肾脏疾病的多中心、随机、双盲、阳性药平行对照的有效性和安全性的剂探索性</w:t>
            </w:r>
            <w:r>
              <w:rPr>
                <w:rFonts w:hint="default" w:ascii="Times New Roman" w:hAnsi="Times New Roman" w:eastAsia="宋体" w:cs="Times New Roman"/>
                <w:i w:val="0"/>
                <w:iCs w:val="0"/>
                <w:color w:val="000000"/>
                <w:kern w:val="0"/>
                <w:sz w:val="18"/>
                <w:szCs w:val="18"/>
                <w:u w:val="none"/>
                <w:lang w:val="en-US" w:eastAsia="zh-CN" w:bidi="ar"/>
              </w:rPr>
              <w:t>Ⅱ</w:t>
            </w:r>
            <w:r>
              <w:rPr>
                <w:rStyle w:val="12"/>
                <w:rFonts w:hint="default" w:ascii="Times New Roman" w:hAnsi="Times New Roman" w:eastAsia="宋体" w:cs="Times New Roman"/>
                <w:sz w:val="18"/>
                <w:szCs w:val="18"/>
                <w:lang w:val="en-US" w:eastAsia="zh-CN" w:bidi="ar"/>
              </w:rPr>
              <w:t>期临床研究</w:t>
            </w:r>
          </w:p>
        </w:tc>
      </w:tr>
      <w:tr w14:paraId="64107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65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25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0B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20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评估 HRS9531 </w:t>
            </w:r>
            <w:r>
              <w:rPr>
                <w:rStyle w:val="12"/>
                <w:rFonts w:hint="default" w:ascii="Times New Roman" w:hAnsi="Times New Roman" w:eastAsia="宋体" w:cs="Times New Roman"/>
                <w:sz w:val="18"/>
                <w:szCs w:val="18"/>
                <w:lang w:val="en-US" w:eastAsia="zh-CN" w:bidi="ar"/>
              </w:rPr>
              <w:t>注射液在</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Style w:val="12"/>
                <w:rFonts w:hint="default" w:ascii="Times New Roman" w:hAnsi="Times New Roman" w:eastAsia="宋体" w:cs="Times New Roman"/>
                <w:sz w:val="18"/>
                <w:szCs w:val="18"/>
                <w:lang w:val="en-US" w:eastAsia="zh-CN" w:bidi="ar"/>
              </w:rPr>
              <w:t>型糖尿病受试者中的有效性和安全性的多中心、随机、双盲、安慰剂平行对</w:t>
            </w:r>
            <w:r>
              <w:rPr>
                <w:rFonts w:hint="default" w:ascii="Times New Roman" w:hAnsi="Times New Roman" w:eastAsia="宋体" w:cs="Times New Roman"/>
                <w:i w:val="0"/>
                <w:iCs w:val="0"/>
                <w:color w:val="000000"/>
                <w:kern w:val="0"/>
                <w:sz w:val="18"/>
                <w:szCs w:val="18"/>
                <w:u w:val="none"/>
                <w:lang w:val="en-US" w:eastAsia="zh-CN" w:bidi="ar"/>
              </w:rPr>
              <w:t xml:space="preserve"> </w:t>
            </w:r>
            <w:r>
              <w:rPr>
                <w:rStyle w:val="12"/>
                <w:rFonts w:hint="default" w:ascii="Times New Roman" w:hAnsi="Times New Roman" w:eastAsia="宋体" w:cs="Times New Roman"/>
                <w:sz w:val="18"/>
                <w:szCs w:val="18"/>
                <w:lang w:val="en-US" w:eastAsia="zh-CN" w:bidi="ar"/>
              </w:rPr>
              <w:t>照的</w:t>
            </w:r>
            <w:r>
              <w:rPr>
                <w:rFonts w:hint="default" w:ascii="Times New Roman" w:hAnsi="Times New Roman" w:eastAsia="宋体" w:cs="Times New Roman"/>
                <w:i w:val="0"/>
                <w:iCs w:val="0"/>
                <w:color w:val="000000"/>
                <w:kern w:val="0"/>
                <w:sz w:val="18"/>
                <w:szCs w:val="18"/>
                <w:u w:val="none"/>
                <w:lang w:val="en-US" w:eastAsia="zh-CN" w:bidi="ar"/>
              </w:rPr>
              <w:t>Ⅱ</w:t>
            </w:r>
            <w:r>
              <w:rPr>
                <w:rStyle w:val="12"/>
                <w:rFonts w:hint="default" w:ascii="Times New Roman" w:hAnsi="Times New Roman" w:eastAsia="宋体" w:cs="Times New Roman"/>
                <w:sz w:val="18"/>
                <w:szCs w:val="18"/>
                <w:lang w:val="en-US" w:eastAsia="zh-CN" w:bidi="ar"/>
              </w:rPr>
              <w:t>期临床研究</w:t>
            </w:r>
          </w:p>
        </w:tc>
      </w:tr>
      <w:tr w14:paraId="444C5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2A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57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60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4F2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在2</w:t>
            </w:r>
            <w:r>
              <w:rPr>
                <w:rStyle w:val="12"/>
                <w:rFonts w:hint="default" w:ascii="Times New Roman" w:hAnsi="Times New Roman" w:eastAsia="宋体" w:cs="Times New Roman"/>
                <w:sz w:val="18"/>
                <w:szCs w:val="18"/>
                <w:lang w:val="en-US" w:eastAsia="zh-CN" w:bidi="ar"/>
              </w:rPr>
              <w:t>型糖尿病受试者中评估</w:t>
            </w:r>
            <w:r>
              <w:rPr>
                <w:rFonts w:hint="default" w:ascii="Times New Roman" w:hAnsi="Times New Roman" w:eastAsia="宋体" w:cs="Times New Roman"/>
                <w:i w:val="0"/>
                <w:iCs w:val="0"/>
                <w:color w:val="000000"/>
                <w:kern w:val="0"/>
                <w:sz w:val="18"/>
                <w:szCs w:val="18"/>
                <w:u w:val="none"/>
                <w:lang w:val="en-US" w:eastAsia="zh-CN" w:bidi="ar"/>
              </w:rPr>
              <w:t>HS-20094</w:t>
            </w:r>
            <w:r>
              <w:rPr>
                <w:rStyle w:val="12"/>
                <w:rFonts w:hint="default" w:ascii="Times New Roman" w:hAnsi="Times New Roman" w:eastAsia="宋体" w:cs="Times New Roman"/>
                <w:sz w:val="18"/>
                <w:szCs w:val="18"/>
                <w:lang w:val="en-US" w:eastAsia="zh-CN" w:bidi="ar"/>
              </w:rPr>
              <w:t>注射液相对安慰剂和度拉糖肽疗效和安全性的多中心、随机的</w:t>
            </w:r>
            <w:r>
              <w:rPr>
                <w:rFonts w:hint="default" w:ascii="Times New Roman" w:hAnsi="Times New Roman" w:eastAsia="宋体" w:cs="Times New Roman"/>
                <w:i w:val="0"/>
                <w:iCs w:val="0"/>
                <w:color w:val="000000"/>
                <w:kern w:val="0"/>
                <w:sz w:val="18"/>
                <w:szCs w:val="18"/>
                <w:u w:val="none"/>
                <w:lang w:val="en-US" w:eastAsia="zh-CN" w:bidi="ar"/>
              </w:rPr>
              <w:t>II</w:t>
            </w:r>
            <w:r>
              <w:rPr>
                <w:rStyle w:val="12"/>
                <w:rFonts w:hint="default" w:ascii="Times New Roman" w:hAnsi="Times New Roman" w:eastAsia="宋体" w:cs="Times New Roman"/>
                <w:sz w:val="18"/>
                <w:szCs w:val="18"/>
                <w:lang w:val="en-US" w:eastAsia="zh-CN" w:bidi="ar"/>
              </w:rPr>
              <w:t>期临床研究</w:t>
            </w:r>
          </w:p>
        </w:tc>
      </w:tr>
      <w:tr w14:paraId="0428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85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E9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68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0E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评价 LH-1801 </w:t>
            </w:r>
            <w:r>
              <w:rPr>
                <w:rStyle w:val="12"/>
                <w:rFonts w:hint="default" w:ascii="Times New Roman" w:hAnsi="Times New Roman" w:eastAsia="宋体" w:cs="Times New Roman"/>
                <w:sz w:val="18"/>
                <w:szCs w:val="18"/>
                <w:lang w:val="en-US" w:eastAsia="zh-CN" w:bidi="ar"/>
              </w:rPr>
              <w:t>片治疗单纯饮食运动控制不佳的中国成年</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Style w:val="12"/>
                <w:rFonts w:hint="default" w:ascii="Times New Roman" w:hAnsi="Times New Roman" w:eastAsia="宋体" w:cs="Times New Roman"/>
                <w:sz w:val="18"/>
                <w:szCs w:val="18"/>
                <w:lang w:val="en-US" w:eastAsia="zh-CN" w:bidi="ar"/>
              </w:rPr>
              <w:t>型糖尿病患者的有效性和安全性的多中心、随机、双盲、</w:t>
            </w:r>
            <w:r>
              <w:rPr>
                <w:rFonts w:hint="default" w:ascii="Times New Roman" w:hAnsi="Times New Roman" w:eastAsia="宋体" w:cs="Times New Roman"/>
                <w:i w:val="0"/>
                <w:iCs w:val="0"/>
                <w:color w:val="000000"/>
                <w:kern w:val="0"/>
                <w:sz w:val="18"/>
                <w:szCs w:val="18"/>
                <w:u w:val="none"/>
                <w:lang w:val="en-US" w:eastAsia="zh-CN" w:bidi="ar"/>
              </w:rPr>
              <w:t xml:space="preserve"> </w:t>
            </w:r>
            <w:r>
              <w:rPr>
                <w:rStyle w:val="12"/>
                <w:rFonts w:hint="default" w:ascii="Times New Roman" w:hAnsi="Times New Roman" w:eastAsia="宋体" w:cs="Times New Roman"/>
                <w:sz w:val="18"/>
                <w:szCs w:val="18"/>
                <w:lang w:val="en-US" w:eastAsia="zh-CN" w:bidi="ar"/>
              </w:rPr>
              <w:t>安慰剂对照</w:t>
            </w:r>
            <w:r>
              <w:rPr>
                <w:rFonts w:hint="default" w:ascii="Times New Roman" w:hAnsi="Times New Roman" w:eastAsia="宋体" w:cs="Times New Roman"/>
                <w:i w:val="0"/>
                <w:iCs w:val="0"/>
                <w:color w:val="000000"/>
                <w:kern w:val="0"/>
                <w:sz w:val="18"/>
                <w:szCs w:val="18"/>
                <w:u w:val="none"/>
                <w:lang w:val="en-US" w:eastAsia="zh-CN" w:bidi="ar"/>
              </w:rPr>
              <w:t>Ⅲ</w:t>
            </w:r>
            <w:r>
              <w:rPr>
                <w:rStyle w:val="12"/>
                <w:rFonts w:hint="default" w:ascii="Times New Roman" w:hAnsi="Times New Roman" w:eastAsia="宋体" w:cs="Times New Roman"/>
                <w:sz w:val="18"/>
                <w:szCs w:val="18"/>
                <w:lang w:val="en-US" w:eastAsia="zh-CN" w:bidi="ar"/>
              </w:rPr>
              <w:t>期临床研究</w:t>
            </w:r>
          </w:p>
        </w:tc>
      </w:tr>
      <w:tr w14:paraId="2B1A0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8A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7B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C9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B1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评价LH-1801</w:t>
            </w:r>
            <w:r>
              <w:rPr>
                <w:rStyle w:val="12"/>
                <w:rFonts w:hint="default" w:ascii="Times New Roman" w:hAnsi="Times New Roman" w:eastAsia="宋体" w:cs="Times New Roman"/>
                <w:sz w:val="18"/>
                <w:szCs w:val="18"/>
                <w:lang w:val="en-US" w:eastAsia="zh-CN" w:bidi="ar"/>
              </w:rPr>
              <w:t>片联合二甲双胍治疗中国成年</w:t>
            </w:r>
            <w:r>
              <w:rPr>
                <w:rFonts w:hint="default" w:ascii="Times New Roman" w:hAnsi="Times New Roman" w:eastAsia="宋体" w:cs="Times New Roman"/>
                <w:i w:val="0"/>
                <w:iCs w:val="0"/>
                <w:color w:val="000000"/>
                <w:kern w:val="0"/>
                <w:sz w:val="18"/>
                <w:szCs w:val="18"/>
                <w:u w:val="none"/>
                <w:lang w:val="en-US" w:eastAsia="zh-CN" w:bidi="ar"/>
              </w:rPr>
              <w:t>2</w:t>
            </w:r>
            <w:r>
              <w:rPr>
                <w:rStyle w:val="12"/>
                <w:rFonts w:hint="default" w:ascii="Times New Roman" w:hAnsi="Times New Roman" w:eastAsia="宋体" w:cs="Times New Roman"/>
                <w:sz w:val="18"/>
                <w:szCs w:val="18"/>
                <w:lang w:val="en-US" w:eastAsia="zh-CN" w:bidi="ar"/>
              </w:rPr>
              <w:t>型糖尿病患者的有效性和安全性的多中心、随机、双盲、阳性药对照</w:t>
            </w:r>
            <w:r>
              <w:rPr>
                <w:rFonts w:hint="default" w:ascii="Times New Roman" w:hAnsi="Times New Roman" w:eastAsia="宋体" w:cs="Times New Roman"/>
                <w:i w:val="0"/>
                <w:iCs w:val="0"/>
                <w:color w:val="000000"/>
                <w:kern w:val="0"/>
                <w:sz w:val="18"/>
                <w:szCs w:val="18"/>
                <w:u w:val="none"/>
                <w:lang w:val="en-US" w:eastAsia="zh-CN" w:bidi="ar"/>
              </w:rPr>
              <w:t>Ⅲ</w:t>
            </w:r>
            <w:r>
              <w:rPr>
                <w:rStyle w:val="12"/>
                <w:rFonts w:hint="default" w:ascii="Times New Roman" w:hAnsi="Times New Roman" w:eastAsia="宋体" w:cs="Times New Roman"/>
                <w:sz w:val="18"/>
                <w:szCs w:val="18"/>
                <w:lang w:val="en-US" w:eastAsia="zh-CN" w:bidi="ar"/>
              </w:rPr>
              <w:t>期临床研究</w:t>
            </w:r>
          </w:p>
        </w:tc>
      </w:tr>
      <w:tr w14:paraId="693C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93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1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21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F5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评价 HP501 </w:t>
            </w:r>
            <w:r>
              <w:rPr>
                <w:rStyle w:val="12"/>
                <w:rFonts w:hint="default" w:ascii="Times New Roman" w:hAnsi="Times New Roman" w:eastAsia="宋体" w:cs="Times New Roman"/>
                <w:sz w:val="18"/>
                <w:szCs w:val="18"/>
                <w:lang w:val="en-US" w:eastAsia="zh-CN" w:bidi="ar"/>
              </w:rPr>
              <w:t>缓释片治疗原发性痛风伴高尿酸血症受试者的有效性和安全性的随机、双盲、非布司他对照的</w:t>
            </w:r>
            <w:r>
              <w:rPr>
                <w:rFonts w:hint="default" w:ascii="Times New Roman" w:hAnsi="Times New Roman" w:eastAsia="宋体" w:cs="Times New Roman"/>
                <w:i w:val="0"/>
                <w:iCs w:val="0"/>
                <w:color w:val="000000"/>
                <w:kern w:val="0"/>
                <w:sz w:val="18"/>
                <w:szCs w:val="18"/>
                <w:u w:val="none"/>
                <w:lang w:val="en-US" w:eastAsia="zh-CN" w:bidi="ar"/>
              </w:rPr>
              <w:t>Ⅱ</w:t>
            </w:r>
            <w:r>
              <w:rPr>
                <w:rStyle w:val="12"/>
                <w:rFonts w:hint="default" w:ascii="Times New Roman" w:hAnsi="Times New Roman" w:eastAsia="宋体" w:cs="Times New Roman"/>
                <w:sz w:val="18"/>
                <w:szCs w:val="18"/>
                <w:lang w:val="en-US" w:eastAsia="zh-CN" w:bidi="ar"/>
              </w:rPr>
              <w:t>期临床试验</w:t>
            </w:r>
          </w:p>
        </w:tc>
      </w:tr>
      <w:tr w14:paraId="0EC85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8A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FE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9A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BE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在二甲双胍治疗后血糖控制不佳的2</w:t>
            </w:r>
            <w:r>
              <w:rPr>
                <w:rStyle w:val="12"/>
                <w:rFonts w:hint="default" w:ascii="Times New Roman" w:hAnsi="Times New Roman" w:eastAsia="宋体" w:cs="Times New Roman"/>
                <w:sz w:val="18"/>
                <w:szCs w:val="18"/>
                <w:lang w:val="en-US" w:eastAsia="zh-CN" w:bidi="ar"/>
              </w:rPr>
              <w:t>型糖尿病患者中比较</w:t>
            </w:r>
            <w:r>
              <w:rPr>
                <w:rFonts w:hint="default" w:ascii="Times New Roman" w:hAnsi="Times New Roman" w:eastAsia="宋体" w:cs="Times New Roman"/>
                <w:i w:val="0"/>
                <w:iCs w:val="0"/>
                <w:color w:val="000000"/>
                <w:kern w:val="0"/>
                <w:sz w:val="18"/>
                <w:szCs w:val="18"/>
                <w:u w:val="none"/>
                <w:lang w:val="en-US" w:eastAsia="zh-CN" w:bidi="ar"/>
              </w:rPr>
              <w:t>THDB0225</w:t>
            </w:r>
            <w:r>
              <w:rPr>
                <w:rStyle w:val="12"/>
                <w:rFonts w:hint="default" w:ascii="Times New Roman" w:hAnsi="Times New Roman" w:eastAsia="宋体" w:cs="Times New Roman"/>
                <w:sz w:val="18"/>
                <w:szCs w:val="18"/>
                <w:lang w:val="en-US" w:eastAsia="zh-CN" w:bidi="ar"/>
              </w:rPr>
              <w:t>注射液（曾用名：</w:t>
            </w:r>
            <w:r>
              <w:rPr>
                <w:rFonts w:hint="default" w:ascii="Times New Roman" w:hAnsi="Times New Roman" w:eastAsia="宋体" w:cs="Times New Roman"/>
                <w:i w:val="0"/>
                <w:iCs w:val="0"/>
                <w:color w:val="000000"/>
                <w:kern w:val="0"/>
                <w:sz w:val="18"/>
                <w:szCs w:val="18"/>
                <w:u w:val="none"/>
                <w:lang w:val="en-US" w:eastAsia="zh-CN" w:bidi="ar"/>
              </w:rPr>
              <w:t>ZT001</w:t>
            </w:r>
            <w:r>
              <w:rPr>
                <w:rStyle w:val="12"/>
                <w:rFonts w:hint="default" w:ascii="Times New Roman" w:hAnsi="Times New Roman" w:eastAsia="宋体" w:cs="Times New Roman"/>
                <w:sz w:val="18"/>
                <w:szCs w:val="18"/>
                <w:lang w:val="en-US" w:eastAsia="zh-CN" w:bidi="ar"/>
              </w:rPr>
              <w:t>注射液）与诺和泰</w:t>
            </w:r>
            <w:r>
              <w:rPr>
                <w:rFonts w:hint="default" w:ascii="Times New Roman" w:hAnsi="Times New Roman" w:eastAsia="宋体" w:cs="Times New Roman"/>
                <w:i w:val="0"/>
                <w:iCs w:val="0"/>
                <w:color w:val="000000"/>
                <w:kern w:val="0"/>
                <w:sz w:val="18"/>
                <w:szCs w:val="18"/>
                <w:u w:val="none"/>
                <w:lang w:val="en-US" w:eastAsia="zh-CN" w:bidi="ar"/>
              </w:rPr>
              <w:t>®</w:t>
            </w:r>
            <w:r>
              <w:rPr>
                <w:rStyle w:val="12"/>
                <w:rFonts w:hint="default" w:ascii="Times New Roman" w:hAnsi="Times New Roman" w:eastAsia="宋体" w:cs="Times New Roman"/>
                <w:sz w:val="18"/>
                <w:szCs w:val="18"/>
                <w:lang w:val="en-US" w:eastAsia="zh-CN" w:bidi="ar"/>
              </w:rPr>
              <w:t>皮下注射治疗的疗效和安全性：一项多中心、随机、开放、平行对照</w:t>
            </w:r>
            <w:r>
              <w:rPr>
                <w:rFonts w:hint="default" w:ascii="Times New Roman" w:hAnsi="Times New Roman" w:eastAsia="宋体" w:cs="Times New Roman"/>
                <w:i w:val="0"/>
                <w:iCs w:val="0"/>
                <w:color w:val="000000"/>
                <w:kern w:val="0"/>
                <w:sz w:val="18"/>
                <w:szCs w:val="18"/>
                <w:u w:val="none"/>
                <w:lang w:val="en-US" w:eastAsia="zh-CN" w:bidi="ar"/>
              </w:rPr>
              <w:t>Ⅲ</w:t>
            </w:r>
            <w:r>
              <w:rPr>
                <w:rStyle w:val="12"/>
                <w:rFonts w:hint="default" w:ascii="Times New Roman" w:hAnsi="Times New Roman" w:eastAsia="宋体" w:cs="Times New Roman"/>
                <w:sz w:val="18"/>
                <w:szCs w:val="18"/>
                <w:lang w:val="en-US" w:eastAsia="zh-CN" w:bidi="ar"/>
              </w:rPr>
              <w:t>期</w:t>
            </w:r>
          </w:p>
        </w:tc>
      </w:tr>
      <w:tr w14:paraId="47D7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DD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73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0F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6A5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一项评价盐酸美氟尼酮片治疗 2 </w:t>
            </w:r>
            <w:r>
              <w:rPr>
                <w:rStyle w:val="12"/>
                <w:rFonts w:hint="default" w:ascii="Times New Roman" w:hAnsi="Times New Roman" w:eastAsia="宋体" w:cs="Times New Roman"/>
                <w:sz w:val="18"/>
                <w:szCs w:val="18"/>
                <w:lang w:val="en-US" w:eastAsia="zh-CN" w:bidi="ar"/>
              </w:rPr>
              <w:t>型糖尿病肾病的有效性和安全性的多中心、随机、双盲、安慰剂平行对照研究</w:t>
            </w:r>
          </w:p>
        </w:tc>
      </w:tr>
      <w:tr w14:paraId="2C570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1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C0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D6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98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一项在接受二甲双胍联合或不联合另一种口服降糖药治疗血糖控制不佳的2</w:t>
            </w:r>
            <w:r>
              <w:rPr>
                <w:rStyle w:val="12"/>
                <w:rFonts w:hint="default" w:ascii="Times New Roman" w:hAnsi="Times New Roman" w:eastAsia="宋体" w:cs="Times New Roman"/>
                <w:sz w:val="18"/>
                <w:szCs w:val="18"/>
                <w:lang w:val="en-US" w:eastAsia="zh-CN" w:bidi="ar"/>
              </w:rPr>
              <w:t>型糖尿病患者中，评价诺利糖肽注射液的有效性和安全性研究</w:t>
            </w:r>
            <w:r>
              <w:rPr>
                <w:rFonts w:hint="default" w:ascii="Times New Roman" w:hAnsi="Times New Roman" w:eastAsia="宋体" w:cs="Times New Roman"/>
                <w:i w:val="0"/>
                <w:iCs w:val="0"/>
                <w:color w:val="000000"/>
                <w:kern w:val="0"/>
                <w:sz w:val="18"/>
                <w:szCs w:val="18"/>
                <w:u w:val="none"/>
                <w:lang w:val="en-US" w:eastAsia="zh-CN" w:bidi="ar"/>
              </w:rPr>
              <w:t>——</w:t>
            </w:r>
            <w:r>
              <w:rPr>
                <w:rStyle w:val="12"/>
                <w:rFonts w:hint="default" w:ascii="Times New Roman" w:hAnsi="Times New Roman" w:eastAsia="宋体" w:cs="Times New Roman"/>
                <w:sz w:val="18"/>
                <w:szCs w:val="18"/>
                <w:lang w:val="en-US" w:eastAsia="zh-CN" w:bidi="ar"/>
              </w:rPr>
              <w:t>多中心、随机、双盲、安慰剂平行对照的</w:t>
            </w:r>
            <w:r>
              <w:rPr>
                <w:rFonts w:hint="default" w:ascii="Times New Roman" w:hAnsi="Times New Roman" w:eastAsia="宋体" w:cs="Times New Roman"/>
                <w:i w:val="0"/>
                <w:iCs w:val="0"/>
                <w:color w:val="000000"/>
                <w:kern w:val="0"/>
                <w:sz w:val="18"/>
                <w:szCs w:val="18"/>
                <w:u w:val="none"/>
                <w:lang w:val="en-US" w:eastAsia="zh-CN" w:bidi="ar"/>
              </w:rPr>
              <w:t>III</w:t>
            </w:r>
            <w:r>
              <w:rPr>
                <w:rStyle w:val="12"/>
                <w:rFonts w:hint="default" w:ascii="Times New Roman" w:hAnsi="Times New Roman" w:eastAsia="宋体" w:cs="Times New Roman"/>
                <w:sz w:val="18"/>
                <w:szCs w:val="18"/>
                <w:lang w:val="en-US" w:eastAsia="zh-CN" w:bidi="ar"/>
              </w:rPr>
              <w:t>期临床试验</w:t>
            </w:r>
          </w:p>
        </w:tc>
      </w:tr>
      <w:tr w14:paraId="148B2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42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35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AB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F4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评价YL-90148</w:t>
            </w:r>
            <w:r>
              <w:rPr>
                <w:rStyle w:val="12"/>
                <w:rFonts w:hint="default" w:ascii="Times New Roman" w:hAnsi="Times New Roman" w:eastAsia="宋体" w:cs="Times New Roman"/>
                <w:sz w:val="18"/>
                <w:szCs w:val="18"/>
                <w:lang w:val="en-US" w:eastAsia="zh-CN" w:bidi="ar"/>
              </w:rPr>
              <w:t>片治疗原发性痛风伴高尿酸血症的有效性与安全性的多中心、随机、双盲、阳性药平行对照的</w:t>
            </w:r>
            <w:r>
              <w:rPr>
                <w:rFonts w:hint="default" w:ascii="Times New Roman" w:hAnsi="Times New Roman" w:eastAsia="宋体" w:cs="Times New Roman"/>
                <w:i w:val="0"/>
                <w:iCs w:val="0"/>
                <w:color w:val="000000"/>
                <w:kern w:val="0"/>
                <w:sz w:val="18"/>
                <w:szCs w:val="18"/>
                <w:u w:val="none"/>
                <w:lang w:val="en-US" w:eastAsia="zh-CN" w:bidi="ar"/>
              </w:rPr>
              <w:t>Ⅲ</w:t>
            </w:r>
            <w:r>
              <w:rPr>
                <w:rStyle w:val="12"/>
                <w:rFonts w:hint="default" w:ascii="Times New Roman" w:hAnsi="Times New Roman" w:eastAsia="宋体" w:cs="Times New Roman"/>
                <w:sz w:val="18"/>
                <w:szCs w:val="18"/>
                <w:lang w:val="en-US" w:eastAsia="zh-CN" w:bidi="ar"/>
              </w:rPr>
              <w:t>期临床研究</w:t>
            </w:r>
          </w:p>
        </w:tc>
      </w:tr>
      <w:tr w14:paraId="646E2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39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EB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C1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C8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评价 GZR18 </w:t>
            </w:r>
            <w:r>
              <w:rPr>
                <w:rStyle w:val="12"/>
                <w:rFonts w:hint="default" w:ascii="Times New Roman" w:hAnsi="Times New Roman" w:eastAsia="宋体" w:cs="Times New Roman"/>
                <w:sz w:val="18"/>
                <w:szCs w:val="18"/>
                <w:lang w:val="en-US" w:eastAsia="zh-CN" w:bidi="ar"/>
              </w:rPr>
              <w:t>注射液在二甲双胍单药治疗或联合钠</w:t>
            </w:r>
            <w:r>
              <w:rPr>
                <w:rFonts w:hint="default" w:ascii="Times New Roman" w:hAnsi="Times New Roman" w:eastAsia="宋体" w:cs="Times New Roman"/>
                <w:i w:val="0"/>
                <w:iCs w:val="0"/>
                <w:color w:val="000000"/>
                <w:kern w:val="0"/>
                <w:sz w:val="18"/>
                <w:szCs w:val="18"/>
                <w:u w:val="none"/>
                <w:lang w:val="en-US" w:eastAsia="zh-CN" w:bidi="ar"/>
              </w:rPr>
              <w:t>-</w:t>
            </w:r>
            <w:r>
              <w:rPr>
                <w:rStyle w:val="12"/>
                <w:rFonts w:hint="default" w:ascii="Times New Roman" w:hAnsi="Times New Roman" w:eastAsia="宋体" w:cs="Times New Roman"/>
                <w:sz w:val="18"/>
                <w:szCs w:val="18"/>
                <w:lang w:val="en-US" w:eastAsia="zh-CN" w:bidi="ar"/>
              </w:rPr>
              <w:t>葡萄糖协同转运蛋白</w:t>
            </w:r>
            <w:r>
              <w:rPr>
                <w:rFonts w:hint="default" w:ascii="Times New Roman" w:hAnsi="Times New Roman" w:eastAsia="宋体" w:cs="Times New Roman"/>
                <w:i w:val="0"/>
                <w:iCs w:val="0"/>
                <w:color w:val="000000"/>
                <w:kern w:val="0"/>
                <w:sz w:val="18"/>
                <w:szCs w:val="18"/>
                <w:u w:val="none"/>
                <w:lang w:val="en-US" w:eastAsia="zh-CN" w:bidi="ar"/>
              </w:rPr>
              <w:t xml:space="preserve"> 2</w:t>
            </w:r>
            <w:r>
              <w:rPr>
                <w:rStyle w:val="12"/>
                <w:rFonts w:hint="default" w:ascii="Times New Roman" w:hAnsi="Times New Roman" w:eastAsia="宋体" w:cs="Times New Roman"/>
                <w:sz w:val="18"/>
                <w:szCs w:val="18"/>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SGLT2</w:t>
            </w:r>
            <w:r>
              <w:rPr>
                <w:rStyle w:val="12"/>
                <w:rFonts w:hint="default" w:ascii="Times New Roman" w:hAnsi="Times New Roman" w:eastAsia="宋体" w:cs="Times New Roman"/>
                <w:sz w:val="18"/>
                <w:szCs w:val="18"/>
                <w:lang w:val="en-US" w:eastAsia="zh-CN" w:bidi="ar"/>
              </w:rPr>
              <w:t>）抑制剂或联合磺脲类药物治疗血糖控制不佳的中国</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Style w:val="12"/>
                <w:rFonts w:hint="default" w:ascii="Times New Roman" w:hAnsi="Times New Roman" w:eastAsia="宋体" w:cs="Times New Roman"/>
                <w:sz w:val="18"/>
                <w:szCs w:val="18"/>
                <w:lang w:val="en-US" w:eastAsia="zh-CN" w:bidi="ar"/>
              </w:rPr>
              <w:t>型糖尿病受试者的疗效和安全性的多中心、随机、阳性对照</w:t>
            </w:r>
            <w:r>
              <w:rPr>
                <w:rFonts w:hint="default" w:ascii="Times New Roman" w:hAnsi="Times New Roman" w:eastAsia="宋体" w:cs="Times New Roman"/>
                <w:i w:val="0"/>
                <w:iCs w:val="0"/>
                <w:color w:val="000000"/>
                <w:kern w:val="0"/>
                <w:sz w:val="18"/>
                <w:szCs w:val="18"/>
                <w:u w:val="none"/>
                <w:lang w:val="en-US" w:eastAsia="zh-CN" w:bidi="ar"/>
              </w:rPr>
              <w:t xml:space="preserve"> III </w:t>
            </w:r>
            <w:r>
              <w:rPr>
                <w:rStyle w:val="12"/>
                <w:rFonts w:hint="default" w:ascii="Times New Roman" w:hAnsi="Times New Roman" w:eastAsia="宋体" w:cs="Times New Roman"/>
                <w:sz w:val="18"/>
                <w:szCs w:val="18"/>
                <w:lang w:val="en-US" w:eastAsia="zh-CN" w:bidi="ar"/>
              </w:rPr>
              <w:t>期临床研究</w:t>
            </w:r>
          </w:p>
        </w:tc>
      </w:tr>
      <w:tr w14:paraId="60E3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14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EB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BF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07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评价沙格列汀二甲双胍缓释片用药安全性多中心真实世界研究</w:t>
            </w:r>
          </w:p>
        </w:tc>
      </w:tr>
      <w:tr w14:paraId="45DB9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3E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8D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09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58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评价磷酸西格列汀片用药安全性多中心真实世界研究</w:t>
            </w:r>
          </w:p>
        </w:tc>
      </w:tr>
      <w:tr w14:paraId="1D3B5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EA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49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70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31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评价脂必妥胶囊用药安全性的多中心真实世界临床研究</w:t>
            </w:r>
          </w:p>
        </w:tc>
      </w:tr>
      <w:tr w14:paraId="79BD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01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8E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82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内分泌科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48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评价地舒单抗注射液用药安全性的多中心真实世界临床研究</w:t>
            </w:r>
          </w:p>
        </w:tc>
      </w:tr>
      <w:tr w14:paraId="7F16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7A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77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A4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73E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一项多中心、随机、开放、平行设计的单唾液酸四己糖神经节苷脂钠注射液治疗急性缺血性脑卒中患者的剂量探索性研究（201</w:t>
            </w:r>
            <w:r>
              <w:rPr>
                <w:rStyle w:val="12"/>
                <w:rFonts w:hint="default" w:ascii="Times New Roman" w:hAnsi="Times New Roman" w:eastAsia="宋体" w:cs="Times New Roman"/>
                <w:sz w:val="18"/>
                <w:szCs w:val="18"/>
                <w:lang w:val="en-US" w:eastAsia="zh-CN" w:bidi="ar"/>
              </w:rPr>
              <w:t>）</w:t>
            </w:r>
          </w:p>
        </w:tc>
      </w:tr>
      <w:tr w14:paraId="2EA9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3B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FA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AE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8D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一项多中心、随机、双盲、安慰剂平行对照的单唾液酸四己糖神经节苷脂钠注射液治疗急性缺血性脑卒中患者的确证性临床研究（301</w:t>
            </w:r>
            <w:r>
              <w:rPr>
                <w:rStyle w:val="12"/>
                <w:rFonts w:hint="default" w:ascii="Times New Roman" w:hAnsi="Times New Roman" w:eastAsia="宋体" w:cs="Times New Roman"/>
                <w:sz w:val="18"/>
                <w:szCs w:val="18"/>
                <w:lang w:val="en-US" w:eastAsia="zh-CN" w:bidi="ar"/>
              </w:rPr>
              <w:t>）</w:t>
            </w:r>
          </w:p>
        </w:tc>
      </w:tr>
      <w:tr w14:paraId="5DDA0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8F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47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EF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5A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SPT-07A </w:t>
            </w:r>
            <w:r>
              <w:rPr>
                <w:rStyle w:val="12"/>
                <w:rFonts w:hint="default" w:ascii="Times New Roman" w:hAnsi="Times New Roman" w:eastAsia="宋体" w:cs="Times New Roman"/>
                <w:sz w:val="18"/>
                <w:szCs w:val="18"/>
                <w:lang w:val="en-US" w:eastAsia="zh-CN" w:bidi="ar"/>
              </w:rPr>
              <w:t>注射液治疗急性缺血性脑卒中患者的有效性和安全性的随机、双盲、安慰剂对照、多中心</w:t>
            </w:r>
            <w:r>
              <w:rPr>
                <w:rFonts w:hint="default" w:ascii="Times New Roman" w:hAnsi="Times New Roman" w:eastAsia="宋体" w:cs="Times New Roman"/>
                <w:i w:val="0"/>
                <w:iCs w:val="0"/>
                <w:color w:val="000000"/>
                <w:kern w:val="0"/>
                <w:sz w:val="18"/>
                <w:szCs w:val="18"/>
                <w:u w:val="none"/>
                <w:lang w:val="en-US" w:eastAsia="zh-CN" w:bidi="ar"/>
              </w:rPr>
              <w:t>Ⅲ</w:t>
            </w:r>
            <w:r>
              <w:rPr>
                <w:rStyle w:val="12"/>
                <w:rFonts w:hint="default" w:ascii="Times New Roman" w:hAnsi="Times New Roman" w:eastAsia="宋体" w:cs="Times New Roman"/>
                <w:sz w:val="18"/>
                <w:szCs w:val="18"/>
                <w:lang w:val="en-US" w:eastAsia="zh-CN" w:bidi="ar"/>
              </w:rPr>
              <w:t>期临床试验</w:t>
            </w:r>
          </w:p>
        </w:tc>
      </w:tr>
      <w:tr w14:paraId="3612B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4A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71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41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4CD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多中心、随机双盲、安慰剂对照II</w:t>
            </w:r>
            <w:r>
              <w:rPr>
                <w:rStyle w:val="12"/>
                <w:rFonts w:hint="default" w:ascii="Times New Roman" w:hAnsi="Times New Roman" w:eastAsia="宋体" w:cs="Times New Roman"/>
                <w:sz w:val="18"/>
                <w:szCs w:val="18"/>
                <w:lang w:val="en-US" w:eastAsia="zh-CN" w:bidi="ar"/>
              </w:rPr>
              <w:t>期临床试验评价不同剂量依达拉奉右莰醇注射用浓溶液联合常规内科疗法治疗脑出血患者的有效性和安全性</w:t>
            </w:r>
          </w:p>
        </w:tc>
      </w:tr>
      <w:tr w14:paraId="79EC8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4C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AB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6A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A3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一项在急性缺血性脑卒中（AIS</w:t>
            </w:r>
            <w:r>
              <w:rPr>
                <w:rStyle w:val="12"/>
                <w:rFonts w:hint="default" w:ascii="Times New Roman" w:hAnsi="Times New Roman" w:eastAsia="宋体" w:cs="Times New Roman"/>
                <w:sz w:val="18"/>
                <w:szCs w:val="18"/>
                <w:lang w:val="en-US" w:eastAsia="zh-CN" w:bidi="ar"/>
              </w:rPr>
              <w:t>）受试者中评价注射用</w:t>
            </w:r>
            <w:r>
              <w:rPr>
                <w:rFonts w:hint="default" w:ascii="Times New Roman" w:hAnsi="Times New Roman" w:eastAsia="宋体" w:cs="Times New Roman"/>
                <w:i w:val="0"/>
                <w:iCs w:val="0"/>
                <w:color w:val="000000"/>
                <w:kern w:val="0"/>
                <w:sz w:val="18"/>
                <w:szCs w:val="18"/>
                <w:u w:val="none"/>
                <w:lang w:val="en-US" w:eastAsia="zh-CN" w:bidi="ar"/>
              </w:rPr>
              <w:t xml:space="preserve"> LT3001</w:t>
            </w:r>
            <w:r>
              <w:rPr>
                <w:rStyle w:val="12"/>
                <w:rFonts w:hint="default" w:ascii="Times New Roman" w:hAnsi="Times New Roman" w:eastAsia="宋体" w:cs="Times New Roman"/>
                <w:sz w:val="18"/>
                <w:szCs w:val="18"/>
                <w:lang w:val="en-US" w:eastAsia="zh-CN" w:bidi="ar"/>
              </w:rPr>
              <w:t>的安全性和有效性的多中心、随机、双盲、安慰剂平行对照的</w:t>
            </w:r>
            <w:r>
              <w:rPr>
                <w:rFonts w:hint="default" w:ascii="Times New Roman" w:hAnsi="Times New Roman" w:eastAsia="宋体" w:cs="Times New Roman"/>
                <w:i w:val="0"/>
                <w:iCs w:val="0"/>
                <w:color w:val="000000"/>
                <w:kern w:val="0"/>
                <w:sz w:val="18"/>
                <w:szCs w:val="18"/>
                <w:u w:val="none"/>
                <w:lang w:val="en-US" w:eastAsia="zh-CN" w:bidi="ar"/>
              </w:rPr>
              <w:t>II</w:t>
            </w:r>
            <w:r>
              <w:rPr>
                <w:rStyle w:val="12"/>
                <w:rFonts w:hint="default" w:ascii="Times New Roman" w:hAnsi="Times New Roman" w:eastAsia="宋体" w:cs="Times New Roman"/>
                <w:sz w:val="18"/>
                <w:szCs w:val="18"/>
                <w:lang w:val="en-US" w:eastAsia="zh-CN" w:bidi="ar"/>
              </w:rPr>
              <w:t>期临床研究</w:t>
            </w:r>
          </w:p>
        </w:tc>
      </w:tr>
      <w:tr w14:paraId="3A6F8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F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FC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6E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E6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HRG2010</w:t>
            </w:r>
            <w:r>
              <w:rPr>
                <w:rStyle w:val="12"/>
                <w:rFonts w:hint="default" w:ascii="Times New Roman" w:hAnsi="Times New Roman" w:eastAsia="宋体" w:cs="Times New Roman"/>
                <w:sz w:val="18"/>
                <w:szCs w:val="18"/>
                <w:lang w:val="en-US" w:eastAsia="zh-CN" w:bidi="ar"/>
              </w:rPr>
              <w:t>对比卡左双多巴缓释片治疗帕金森病伴症状波动的有效性和安全性研究</w:t>
            </w:r>
            <w:r>
              <w:rPr>
                <w:rFonts w:hint="default" w:ascii="Times New Roman" w:hAnsi="Times New Roman" w:eastAsia="宋体" w:cs="Times New Roman"/>
                <w:i w:val="0"/>
                <w:iCs w:val="0"/>
                <w:color w:val="000000"/>
                <w:kern w:val="0"/>
                <w:sz w:val="18"/>
                <w:szCs w:val="18"/>
                <w:u w:val="none"/>
                <w:lang w:val="en-US" w:eastAsia="zh-CN" w:bidi="ar"/>
              </w:rPr>
              <w:t>——</w:t>
            </w:r>
            <w:r>
              <w:rPr>
                <w:rStyle w:val="12"/>
                <w:rFonts w:hint="default" w:ascii="Times New Roman" w:hAnsi="Times New Roman" w:eastAsia="宋体" w:cs="Times New Roman"/>
                <w:sz w:val="18"/>
                <w:szCs w:val="18"/>
                <w:lang w:val="en-US" w:eastAsia="zh-CN" w:bidi="ar"/>
              </w:rPr>
              <w:t>随机、对照、双盲、双模拟、多中心</w:t>
            </w:r>
            <w:r>
              <w:rPr>
                <w:rFonts w:hint="default" w:ascii="Times New Roman" w:hAnsi="Times New Roman" w:eastAsia="宋体" w:cs="Times New Roman"/>
                <w:i w:val="0"/>
                <w:iCs w:val="0"/>
                <w:color w:val="000000"/>
                <w:kern w:val="0"/>
                <w:sz w:val="18"/>
                <w:szCs w:val="18"/>
                <w:u w:val="none"/>
                <w:lang w:val="en-US" w:eastAsia="zh-CN" w:bidi="ar"/>
              </w:rPr>
              <w:t xml:space="preserve"> III</w:t>
            </w:r>
            <w:r>
              <w:rPr>
                <w:rStyle w:val="12"/>
                <w:rFonts w:hint="default" w:ascii="Times New Roman" w:hAnsi="Times New Roman" w:eastAsia="宋体" w:cs="Times New Roman"/>
                <w:sz w:val="18"/>
                <w:szCs w:val="18"/>
                <w:lang w:val="en-US" w:eastAsia="zh-CN" w:bidi="ar"/>
              </w:rPr>
              <w:t>期临床试验</w:t>
            </w:r>
          </w:p>
        </w:tc>
      </w:tr>
      <w:tr w14:paraId="3DEDF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B7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05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D7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95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基于真实世界的血栓通胶囊临床安全性病例登记研究</w:t>
            </w:r>
          </w:p>
        </w:tc>
      </w:tr>
      <w:tr w14:paraId="254B9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6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6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93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A9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培元通脑胶囊用药安全性的多中心真实世界临床研究</w:t>
            </w:r>
          </w:p>
        </w:tc>
      </w:tr>
      <w:tr w14:paraId="626F1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A7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15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F2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4B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基于真实世界氢溴酸加兰他敏注射液用药安全性的临床登记研究</w:t>
            </w:r>
          </w:p>
        </w:tc>
      </w:tr>
      <w:tr w14:paraId="51C2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3E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16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A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87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评价疏血通注射液用药安全性多中心真实世界研究</w:t>
            </w:r>
          </w:p>
        </w:tc>
      </w:tr>
      <w:tr w14:paraId="69202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8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07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92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64E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评价己酮可可碱肠溶片用药安全性的多中心真实世界临床研究</w:t>
            </w:r>
          </w:p>
        </w:tc>
      </w:tr>
      <w:tr w14:paraId="1C5D4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2D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67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66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神经内科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8E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评价复方苁蓉益智胶囊用药安全性的多中心真实世界临床研究</w:t>
            </w:r>
          </w:p>
        </w:tc>
      </w:tr>
      <w:tr w14:paraId="0CD6E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16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09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F9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消化内科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51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多中心、随机、双盲双模拟、阳性药平行对照的Ⅱ</w:t>
            </w:r>
            <w:r>
              <w:rPr>
                <w:rStyle w:val="12"/>
                <w:rFonts w:hint="default" w:ascii="Times New Roman" w:hAnsi="Times New Roman" w:eastAsia="宋体" w:cs="Times New Roman"/>
                <w:sz w:val="18"/>
                <w:szCs w:val="18"/>
                <w:lang w:val="en-US" w:eastAsia="zh-CN" w:bidi="ar"/>
              </w:rPr>
              <w:t>期临床研究评价</w:t>
            </w:r>
            <w:r>
              <w:rPr>
                <w:rFonts w:hint="default" w:ascii="Times New Roman" w:hAnsi="Times New Roman" w:eastAsia="宋体" w:cs="Times New Roman"/>
                <w:i w:val="0"/>
                <w:iCs w:val="0"/>
                <w:color w:val="000000"/>
                <w:kern w:val="0"/>
                <w:sz w:val="18"/>
                <w:szCs w:val="18"/>
                <w:u w:val="none"/>
                <w:lang w:val="en-US" w:eastAsia="zh-CN" w:bidi="ar"/>
              </w:rPr>
              <w:t>X842</w:t>
            </w:r>
            <w:r>
              <w:rPr>
                <w:rStyle w:val="12"/>
                <w:rFonts w:hint="default" w:ascii="Times New Roman" w:hAnsi="Times New Roman" w:eastAsia="宋体" w:cs="Times New Roman"/>
                <w:sz w:val="18"/>
                <w:szCs w:val="18"/>
                <w:lang w:val="en-US" w:eastAsia="zh-CN" w:bidi="ar"/>
              </w:rPr>
              <w:t>胶囊不同剂量给药方案用于反流性食管炎患者的有效性和安全性临床研究</w:t>
            </w:r>
          </w:p>
        </w:tc>
      </w:tr>
      <w:tr w14:paraId="15895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B8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76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6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消化内科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5C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评价胃力康颗粒用药安全性的多中心真实世界临床研究</w:t>
            </w:r>
          </w:p>
        </w:tc>
      </w:tr>
      <w:tr w14:paraId="050DA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D6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54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27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皮肤科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47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在成年中重度斑块状银屑病患者中评价 HS-10374 </w:t>
            </w:r>
            <w:r>
              <w:rPr>
                <w:rStyle w:val="12"/>
                <w:rFonts w:hint="default" w:ascii="Times New Roman" w:hAnsi="Times New Roman" w:eastAsia="宋体" w:cs="Times New Roman"/>
                <w:sz w:val="18"/>
                <w:szCs w:val="18"/>
                <w:lang w:val="en-US" w:eastAsia="zh-CN" w:bidi="ar"/>
              </w:rPr>
              <w:t>片有效性和安全性的多中心、随机、双盲、安慰剂对照设计的</w:t>
            </w:r>
            <w:r>
              <w:rPr>
                <w:rFonts w:hint="default" w:ascii="Times New Roman" w:hAnsi="Times New Roman" w:eastAsia="宋体" w:cs="Times New Roman"/>
                <w:i w:val="0"/>
                <w:iCs w:val="0"/>
                <w:color w:val="000000"/>
                <w:kern w:val="0"/>
                <w:sz w:val="18"/>
                <w:szCs w:val="18"/>
                <w:u w:val="none"/>
                <w:lang w:val="en-US" w:eastAsia="zh-CN" w:bidi="ar"/>
              </w:rPr>
              <w:t xml:space="preserve"> II </w:t>
            </w:r>
            <w:r>
              <w:rPr>
                <w:rStyle w:val="12"/>
                <w:rFonts w:hint="default" w:ascii="Times New Roman" w:hAnsi="Times New Roman" w:eastAsia="宋体" w:cs="Times New Roman"/>
                <w:sz w:val="18"/>
                <w:szCs w:val="18"/>
                <w:lang w:val="en-US" w:eastAsia="zh-CN" w:bidi="ar"/>
              </w:rPr>
              <w:t>期临床研究</w:t>
            </w:r>
          </w:p>
        </w:tc>
      </w:tr>
      <w:tr w14:paraId="4C933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2E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6F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D5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皮肤科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F81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盐酸杰克替尼片治疗中、重度特应性皮炎成年患者的多中心、随机、双盲、安慰剂平行对照Ⅲ</w:t>
            </w:r>
            <w:r>
              <w:rPr>
                <w:rStyle w:val="12"/>
                <w:rFonts w:hint="default" w:ascii="Times New Roman" w:hAnsi="Times New Roman" w:eastAsia="宋体" w:cs="Times New Roman"/>
                <w:sz w:val="18"/>
                <w:szCs w:val="18"/>
                <w:lang w:val="en-US" w:eastAsia="zh-CN" w:bidi="ar"/>
              </w:rPr>
              <w:t>期临床研究</w:t>
            </w:r>
          </w:p>
        </w:tc>
      </w:tr>
      <w:tr w14:paraId="36DC8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6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02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A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皮肤科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B1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盐酸杰克替尼片治疗中、重度特应性皮炎长期安全性和有效性的III</w:t>
            </w:r>
            <w:r>
              <w:rPr>
                <w:rStyle w:val="12"/>
                <w:rFonts w:hint="default" w:ascii="Times New Roman" w:hAnsi="Times New Roman" w:eastAsia="宋体" w:cs="Times New Roman"/>
                <w:sz w:val="18"/>
                <w:szCs w:val="18"/>
                <w:lang w:val="en-US" w:eastAsia="zh-CN" w:bidi="ar"/>
              </w:rPr>
              <w:t>期延伸临床试验</w:t>
            </w:r>
          </w:p>
        </w:tc>
      </w:tr>
      <w:tr w14:paraId="15075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60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AF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A4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皮肤科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8C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在成年中重度斑块状银屑病患者中评价 HS-10374 </w:t>
            </w:r>
            <w:r>
              <w:rPr>
                <w:rStyle w:val="12"/>
                <w:rFonts w:hint="default" w:ascii="Times New Roman" w:hAnsi="Times New Roman" w:eastAsia="宋体" w:cs="Times New Roman"/>
                <w:sz w:val="18"/>
                <w:szCs w:val="18"/>
                <w:lang w:val="en-US" w:eastAsia="zh-CN" w:bidi="ar"/>
              </w:rPr>
              <w:t>片有效性和安全性的多中心、随机、双盲、安慰剂对照设计的</w:t>
            </w:r>
            <w:r>
              <w:rPr>
                <w:rFonts w:hint="default" w:ascii="Times New Roman" w:hAnsi="Times New Roman" w:eastAsia="宋体" w:cs="Times New Roman"/>
                <w:i w:val="0"/>
                <w:iCs w:val="0"/>
                <w:color w:val="000000"/>
                <w:kern w:val="0"/>
                <w:sz w:val="18"/>
                <w:szCs w:val="18"/>
                <w:u w:val="none"/>
                <w:lang w:val="en-US" w:eastAsia="zh-CN" w:bidi="ar"/>
              </w:rPr>
              <w:t>III</w:t>
            </w:r>
            <w:r>
              <w:rPr>
                <w:rStyle w:val="12"/>
                <w:rFonts w:hint="default" w:ascii="Times New Roman" w:hAnsi="Times New Roman" w:eastAsia="宋体" w:cs="Times New Roman"/>
                <w:sz w:val="18"/>
                <w:szCs w:val="18"/>
                <w:lang w:val="en-US" w:eastAsia="zh-CN" w:bidi="ar"/>
              </w:rPr>
              <w:t>期临床研究</w:t>
            </w:r>
          </w:p>
        </w:tc>
      </w:tr>
      <w:tr w14:paraId="1D820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7A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E5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器械（GCP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F0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医学检验科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16D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抗缪勒管激素（AMH</w:t>
            </w:r>
            <w:r>
              <w:rPr>
                <w:rStyle w:val="12"/>
                <w:rFonts w:hint="default" w:ascii="Times New Roman" w:hAnsi="Times New Roman" w:eastAsia="宋体" w:cs="Times New Roman"/>
                <w:sz w:val="18"/>
                <w:szCs w:val="18"/>
                <w:lang w:val="en-US" w:eastAsia="zh-CN" w:bidi="ar"/>
              </w:rPr>
              <w:t>）测定试剂盒（化学发光免疫分析法）临床试验</w:t>
            </w:r>
          </w:p>
        </w:tc>
      </w:tr>
      <w:tr w14:paraId="2D479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AB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6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器械（GCP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5B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医学检验科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0E0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人MTHFR</w:t>
            </w:r>
            <w:r>
              <w:rPr>
                <w:rStyle w:val="12"/>
                <w:rFonts w:hint="default" w:ascii="Times New Roman" w:hAnsi="Times New Roman" w:eastAsia="宋体" w:cs="Times New Roman"/>
                <w:sz w:val="18"/>
                <w:szCs w:val="18"/>
                <w:lang w:val="en-US" w:eastAsia="zh-CN" w:bidi="ar"/>
              </w:rPr>
              <w:t>基因多态性检测试剂盒（</w:t>
            </w:r>
            <w:r>
              <w:rPr>
                <w:rFonts w:hint="default" w:ascii="Times New Roman" w:hAnsi="Times New Roman" w:eastAsia="宋体" w:cs="Times New Roman"/>
                <w:i w:val="0"/>
                <w:iCs w:val="0"/>
                <w:color w:val="000000"/>
                <w:kern w:val="0"/>
                <w:sz w:val="18"/>
                <w:szCs w:val="18"/>
                <w:u w:val="none"/>
                <w:lang w:val="en-US" w:eastAsia="zh-CN" w:bidi="ar"/>
              </w:rPr>
              <w:t>PCR</w:t>
            </w:r>
            <w:r>
              <w:rPr>
                <w:rStyle w:val="12"/>
                <w:rFonts w:hint="default" w:ascii="Times New Roman" w:hAnsi="Times New Roman" w:eastAsia="宋体" w:cs="Times New Roman"/>
                <w:sz w:val="18"/>
                <w:szCs w:val="18"/>
                <w:lang w:val="en-US" w:eastAsia="zh-CN" w:bidi="ar"/>
              </w:rPr>
              <w:t>荧光探针法）临床试验</w:t>
            </w:r>
          </w:p>
        </w:tc>
      </w:tr>
      <w:tr w14:paraId="72496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E0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7A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器械（GCP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F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医学检验科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13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沙眼衣原体（CT</w:t>
            </w:r>
            <w:r>
              <w:rPr>
                <w:rStyle w:val="12"/>
                <w:rFonts w:hint="default" w:ascii="Times New Roman" w:hAnsi="Times New Roman" w:eastAsia="宋体" w:cs="Times New Roman"/>
                <w:sz w:val="18"/>
                <w:szCs w:val="18"/>
                <w:lang w:val="en-US" w:eastAsia="zh-CN" w:bidi="ar"/>
              </w:rPr>
              <w:t>）核酸检测试剂盒（荧光</w:t>
            </w:r>
            <w:r>
              <w:rPr>
                <w:rFonts w:hint="default" w:ascii="Times New Roman" w:hAnsi="Times New Roman" w:eastAsia="宋体" w:cs="Times New Roman"/>
                <w:i w:val="0"/>
                <w:iCs w:val="0"/>
                <w:color w:val="000000"/>
                <w:kern w:val="0"/>
                <w:sz w:val="18"/>
                <w:szCs w:val="18"/>
                <w:u w:val="none"/>
                <w:lang w:val="en-US" w:eastAsia="zh-CN" w:bidi="ar"/>
              </w:rPr>
              <w:t>PCR</w:t>
            </w:r>
            <w:r>
              <w:rPr>
                <w:rStyle w:val="12"/>
                <w:rFonts w:hint="default" w:ascii="Times New Roman" w:hAnsi="Times New Roman" w:eastAsia="宋体" w:cs="Times New Roman"/>
                <w:sz w:val="18"/>
                <w:szCs w:val="18"/>
                <w:lang w:val="en-US" w:eastAsia="zh-CN" w:bidi="ar"/>
              </w:rPr>
              <w:t>法）临床试验</w:t>
            </w:r>
          </w:p>
        </w:tc>
      </w:tr>
      <w:tr w14:paraId="7389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91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8A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器械（GCP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38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医学检验科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A4D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淋球菌（NG</w:t>
            </w:r>
            <w:r>
              <w:rPr>
                <w:rStyle w:val="12"/>
                <w:rFonts w:hint="default" w:ascii="Times New Roman" w:hAnsi="Times New Roman" w:eastAsia="宋体" w:cs="Times New Roman"/>
                <w:sz w:val="18"/>
                <w:szCs w:val="18"/>
                <w:lang w:val="en-US" w:eastAsia="zh-CN" w:bidi="ar"/>
              </w:rPr>
              <w:t>）核酸检测试剂盒（荧光</w:t>
            </w:r>
            <w:r>
              <w:rPr>
                <w:rFonts w:hint="default" w:ascii="Times New Roman" w:hAnsi="Times New Roman" w:eastAsia="宋体" w:cs="Times New Roman"/>
                <w:i w:val="0"/>
                <w:iCs w:val="0"/>
                <w:color w:val="000000"/>
                <w:kern w:val="0"/>
                <w:sz w:val="18"/>
                <w:szCs w:val="18"/>
                <w:u w:val="none"/>
                <w:lang w:val="en-US" w:eastAsia="zh-CN" w:bidi="ar"/>
              </w:rPr>
              <w:t>PCR</w:t>
            </w:r>
            <w:r>
              <w:rPr>
                <w:rStyle w:val="12"/>
                <w:rFonts w:hint="default" w:ascii="Times New Roman" w:hAnsi="Times New Roman" w:eastAsia="宋体" w:cs="Times New Roman"/>
                <w:sz w:val="18"/>
                <w:szCs w:val="18"/>
                <w:lang w:val="en-US" w:eastAsia="zh-CN" w:bidi="ar"/>
              </w:rPr>
              <w:t>法）临床试验</w:t>
            </w:r>
          </w:p>
        </w:tc>
      </w:tr>
      <w:tr w14:paraId="250F7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B2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BD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器械（GCP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25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医学检验科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00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解脲脲原体（UU</w:t>
            </w:r>
            <w:r>
              <w:rPr>
                <w:rStyle w:val="12"/>
                <w:rFonts w:hint="default" w:ascii="Times New Roman" w:hAnsi="Times New Roman" w:eastAsia="宋体" w:cs="Times New Roman"/>
                <w:sz w:val="18"/>
                <w:szCs w:val="18"/>
                <w:lang w:val="en-US" w:eastAsia="zh-CN" w:bidi="ar"/>
              </w:rPr>
              <w:t>）核酸检测试剂盒（荧光</w:t>
            </w:r>
            <w:r>
              <w:rPr>
                <w:rFonts w:hint="default" w:ascii="Times New Roman" w:hAnsi="Times New Roman" w:eastAsia="宋体" w:cs="Times New Roman"/>
                <w:i w:val="0"/>
                <w:iCs w:val="0"/>
                <w:color w:val="000000"/>
                <w:kern w:val="0"/>
                <w:sz w:val="18"/>
                <w:szCs w:val="18"/>
                <w:u w:val="none"/>
                <w:lang w:val="en-US" w:eastAsia="zh-CN" w:bidi="ar"/>
              </w:rPr>
              <w:t>PCR</w:t>
            </w:r>
            <w:r>
              <w:rPr>
                <w:rStyle w:val="12"/>
                <w:rFonts w:hint="default" w:ascii="Times New Roman" w:hAnsi="Times New Roman" w:eastAsia="宋体" w:cs="Times New Roman"/>
                <w:sz w:val="18"/>
                <w:szCs w:val="18"/>
                <w:lang w:val="en-US" w:eastAsia="zh-CN" w:bidi="ar"/>
              </w:rPr>
              <w:t>法）临床试验</w:t>
            </w:r>
          </w:p>
        </w:tc>
      </w:tr>
      <w:tr w14:paraId="260DB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6E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4D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60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重症医学科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82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艾普拉唑钠预防重症受试者应激性溃疡出血的疗效与安全性</w:t>
            </w:r>
          </w:p>
        </w:tc>
      </w:tr>
      <w:tr w14:paraId="7C4D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C1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83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CF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血液肿瘤内科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41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静脉炎颗粒治疗血栓性浅静脉炎急性期（血热瘀结证）有效性和安全性的随机、双盲、安慰剂对照、剂量探索、多中心Ⅱ</w:t>
            </w:r>
            <w:r>
              <w:rPr>
                <w:rStyle w:val="12"/>
                <w:rFonts w:hint="default" w:ascii="Times New Roman" w:hAnsi="Times New Roman" w:eastAsia="宋体" w:cs="Times New Roman"/>
                <w:sz w:val="18"/>
                <w:szCs w:val="18"/>
                <w:lang w:val="en-US" w:eastAsia="zh-CN" w:bidi="ar"/>
              </w:rPr>
              <w:t>期临床试验</w:t>
            </w:r>
          </w:p>
        </w:tc>
      </w:tr>
      <w:tr w14:paraId="7EB4E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E0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CC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25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血液肿瘤内科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07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评价替尼泊苷注射液用药安全性的多中心真实世界临床研究</w:t>
            </w:r>
          </w:p>
        </w:tc>
      </w:tr>
      <w:tr w14:paraId="5CFCC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D7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E7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D1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血液肿瘤内科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BC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观察参附注射液临床用药安全性的多中心真实世界研究</w:t>
            </w:r>
          </w:p>
        </w:tc>
      </w:tr>
      <w:tr w14:paraId="2DD70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F3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DA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E9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血液肿瘤内科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6D8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评价盐酸多柔比星脂质体注射液用药安全性的多中心真实世界临床研究</w:t>
            </w:r>
          </w:p>
        </w:tc>
      </w:tr>
      <w:tr w14:paraId="4441B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33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50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34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妇科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B1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评价加味没竭片治疗原发性痛经(</w:t>
            </w:r>
            <w:r>
              <w:rPr>
                <w:rStyle w:val="12"/>
                <w:rFonts w:hint="default" w:ascii="Times New Roman" w:hAnsi="Times New Roman" w:eastAsia="宋体" w:cs="Times New Roman"/>
                <w:sz w:val="18"/>
                <w:szCs w:val="18"/>
                <w:lang w:val="en-US" w:eastAsia="zh-CN" w:bidi="ar"/>
              </w:rPr>
              <w:t>气滞血瘀证</w:t>
            </w:r>
            <w:r>
              <w:rPr>
                <w:rFonts w:hint="default" w:ascii="Times New Roman" w:hAnsi="Times New Roman" w:eastAsia="宋体" w:cs="Times New Roman"/>
                <w:i w:val="0"/>
                <w:iCs w:val="0"/>
                <w:color w:val="000000"/>
                <w:kern w:val="0"/>
                <w:sz w:val="18"/>
                <w:szCs w:val="18"/>
                <w:u w:val="none"/>
                <w:lang w:val="en-US" w:eastAsia="zh-CN" w:bidi="ar"/>
              </w:rPr>
              <w:t>)</w:t>
            </w:r>
            <w:r>
              <w:rPr>
                <w:rStyle w:val="12"/>
                <w:rFonts w:hint="default" w:ascii="Times New Roman" w:hAnsi="Times New Roman" w:eastAsia="宋体" w:cs="Times New Roman"/>
                <w:sz w:val="18"/>
                <w:szCs w:val="18"/>
                <w:lang w:val="en-US" w:eastAsia="zh-CN" w:bidi="ar"/>
              </w:rPr>
              <w:t>的有效性和安全性的多中心、随机、双盲、安慰剂平行对照</w:t>
            </w:r>
            <w:r>
              <w:rPr>
                <w:rFonts w:hint="default" w:ascii="Times New Roman" w:hAnsi="Times New Roman" w:eastAsia="宋体" w:cs="Times New Roman"/>
                <w:i w:val="0"/>
                <w:iCs w:val="0"/>
                <w:color w:val="000000"/>
                <w:kern w:val="0"/>
                <w:sz w:val="18"/>
                <w:szCs w:val="18"/>
                <w:u w:val="none"/>
                <w:lang w:val="en-US" w:eastAsia="zh-CN" w:bidi="ar"/>
              </w:rPr>
              <w:t>III</w:t>
            </w:r>
            <w:r>
              <w:rPr>
                <w:rStyle w:val="12"/>
                <w:rFonts w:hint="default" w:ascii="Times New Roman" w:hAnsi="Times New Roman" w:eastAsia="宋体" w:cs="Times New Roman"/>
                <w:sz w:val="18"/>
                <w:szCs w:val="18"/>
                <w:lang w:val="en-US" w:eastAsia="zh-CN" w:bidi="ar"/>
              </w:rPr>
              <w:t>期临床试验</w:t>
            </w:r>
          </w:p>
        </w:tc>
      </w:tr>
      <w:tr w14:paraId="19095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77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B1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13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妇科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F8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坤心宁颗粒治疗更年期综合征（肾阴阳两虚证）安全性和有效性的多中心Ⅳ</w:t>
            </w:r>
            <w:r>
              <w:rPr>
                <w:rStyle w:val="12"/>
                <w:rFonts w:hint="default" w:ascii="Times New Roman" w:hAnsi="Times New Roman" w:eastAsia="宋体" w:cs="Times New Roman"/>
                <w:sz w:val="18"/>
                <w:szCs w:val="18"/>
                <w:lang w:val="en-US" w:eastAsia="zh-CN" w:bidi="ar"/>
              </w:rPr>
              <w:t>期临床试验</w:t>
            </w:r>
          </w:p>
        </w:tc>
      </w:tr>
      <w:tr w14:paraId="3DF5F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BD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53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58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呼吸内科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2E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一项评价Tozorakimab</w:t>
            </w:r>
            <w:r>
              <w:rPr>
                <w:rStyle w:val="12"/>
                <w:rFonts w:hint="default" w:ascii="Times New Roman" w:hAnsi="Times New Roman" w:eastAsia="宋体" w:cs="Times New Roman"/>
                <w:sz w:val="18"/>
                <w:szCs w:val="18"/>
                <w:lang w:val="en-US" w:eastAsia="zh-CN" w:bidi="ar"/>
              </w:rPr>
              <w:t>在具有慢性阻塞性肺疾病（</w:t>
            </w:r>
            <w:r>
              <w:rPr>
                <w:rFonts w:hint="default" w:ascii="Times New Roman" w:hAnsi="Times New Roman" w:eastAsia="宋体" w:cs="Times New Roman"/>
                <w:i w:val="0"/>
                <w:iCs w:val="0"/>
                <w:color w:val="000000"/>
                <w:kern w:val="0"/>
                <w:sz w:val="18"/>
                <w:szCs w:val="18"/>
                <w:u w:val="none"/>
                <w:lang w:val="en-US" w:eastAsia="zh-CN" w:bidi="ar"/>
              </w:rPr>
              <w:t>COPD</w:t>
            </w:r>
            <w:r>
              <w:rPr>
                <w:rStyle w:val="12"/>
                <w:rFonts w:hint="default" w:ascii="Times New Roman" w:hAnsi="Times New Roman" w:eastAsia="宋体" w:cs="Times New Roman"/>
                <w:sz w:val="18"/>
                <w:szCs w:val="18"/>
                <w:lang w:val="en-US" w:eastAsia="zh-CN" w:bidi="ar"/>
              </w:rPr>
              <w:t>）急性加重史的症状性</w:t>
            </w:r>
            <w:r>
              <w:rPr>
                <w:rFonts w:hint="default" w:ascii="Times New Roman" w:hAnsi="Times New Roman" w:eastAsia="宋体" w:cs="Times New Roman"/>
                <w:i w:val="0"/>
                <w:iCs w:val="0"/>
                <w:color w:val="000000"/>
                <w:kern w:val="0"/>
                <w:sz w:val="18"/>
                <w:szCs w:val="18"/>
                <w:u w:val="none"/>
                <w:lang w:val="en-US" w:eastAsia="zh-CN" w:bidi="ar"/>
              </w:rPr>
              <w:t xml:space="preserve"> COPD</w:t>
            </w:r>
            <w:r>
              <w:rPr>
                <w:rStyle w:val="12"/>
                <w:rFonts w:hint="default" w:ascii="Times New Roman" w:hAnsi="Times New Roman" w:eastAsia="宋体" w:cs="Times New Roman"/>
                <w:sz w:val="18"/>
                <w:szCs w:val="18"/>
                <w:lang w:val="en-US" w:eastAsia="zh-CN" w:bidi="ar"/>
              </w:rPr>
              <w:t>受试者中有效性和安全性的多中心、随机、双盲、长期给药、平行分组、安慰剂对照、</w:t>
            </w:r>
            <w:r>
              <w:rPr>
                <w:rFonts w:hint="default" w:ascii="Times New Roman" w:hAnsi="Times New Roman" w:eastAsia="宋体" w:cs="Times New Roman"/>
                <w:i w:val="0"/>
                <w:iCs w:val="0"/>
                <w:color w:val="000000"/>
                <w:kern w:val="0"/>
                <w:sz w:val="18"/>
                <w:szCs w:val="18"/>
                <w:u w:val="none"/>
                <w:lang w:val="en-US" w:eastAsia="zh-CN" w:bidi="ar"/>
              </w:rPr>
              <w:t xml:space="preserve"> III</w:t>
            </w:r>
            <w:r>
              <w:rPr>
                <w:rStyle w:val="12"/>
                <w:rFonts w:hint="default" w:ascii="Times New Roman" w:hAnsi="Times New Roman" w:eastAsia="宋体" w:cs="Times New Roman"/>
                <w:sz w:val="18"/>
                <w:szCs w:val="18"/>
                <w:lang w:val="en-US" w:eastAsia="zh-CN" w:bidi="ar"/>
              </w:rPr>
              <w:t>期研究（</w:t>
            </w:r>
            <w:r>
              <w:rPr>
                <w:rFonts w:hint="default" w:ascii="Times New Roman" w:hAnsi="Times New Roman" w:eastAsia="宋体" w:cs="Times New Roman"/>
                <w:i w:val="0"/>
                <w:iCs w:val="0"/>
                <w:color w:val="000000"/>
                <w:kern w:val="0"/>
                <w:sz w:val="18"/>
                <w:szCs w:val="18"/>
                <w:u w:val="none"/>
                <w:lang w:val="en-US" w:eastAsia="zh-CN" w:bidi="ar"/>
              </w:rPr>
              <w:t>MIRANDA</w:t>
            </w:r>
            <w:r>
              <w:rPr>
                <w:rStyle w:val="12"/>
                <w:rFonts w:hint="default" w:ascii="Times New Roman" w:hAnsi="Times New Roman" w:eastAsia="宋体" w:cs="Times New Roman"/>
                <w:sz w:val="18"/>
                <w:szCs w:val="18"/>
                <w:lang w:val="en-US" w:eastAsia="zh-CN" w:bidi="ar"/>
              </w:rPr>
              <w:t>）</w:t>
            </w:r>
          </w:p>
        </w:tc>
      </w:tr>
      <w:tr w14:paraId="16556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5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7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器械（IIT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5F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呼吸内科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7D6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一项在确诊/</w:t>
            </w:r>
            <w:r>
              <w:rPr>
                <w:rStyle w:val="12"/>
                <w:rFonts w:hint="default" w:ascii="Times New Roman" w:hAnsi="Times New Roman" w:eastAsia="宋体" w:cs="Times New Roman"/>
                <w:sz w:val="18"/>
                <w:szCs w:val="18"/>
                <w:lang w:val="en-US" w:eastAsia="zh-CN" w:bidi="ar"/>
              </w:rPr>
              <w:t>疑似哮喘或</w:t>
            </w:r>
            <w:r>
              <w:rPr>
                <w:rFonts w:hint="default" w:ascii="Times New Roman" w:hAnsi="Times New Roman" w:eastAsia="宋体" w:cs="Times New Roman"/>
                <w:i w:val="0"/>
                <w:iCs w:val="0"/>
                <w:color w:val="000000"/>
                <w:kern w:val="0"/>
                <w:sz w:val="18"/>
                <w:szCs w:val="18"/>
                <w:u w:val="none"/>
                <w:lang w:val="en-US" w:eastAsia="zh-CN" w:bidi="ar"/>
              </w:rPr>
              <w:t>COPD</w:t>
            </w:r>
            <w:r>
              <w:rPr>
                <w:rStyle w:val="12"/>
                <w:rFonts w:hint="default" w:ascii="Times New Roman" w:hAnsi="Times New Roman" w:eastAsia="宋体" w:cs="Times New Roman"/>
                <w:sz w:val="18"/>
                <w:szCs w:val="18"/>
                <w:lang w:val="en-US" w:eastAsia="zh-CN" w:bidi="ar"/>
              </w:rPr>
              <w:t>患者中，评估强迫振荡法和肺量测定法结果的一致性的研究</w:t>
            </w:r>
          </w:p>
        </w:tc>
      </w:tr>
      <w:tr w14:paraId="6A77F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20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D7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B8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呼吸内科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12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基于真实世界的右美沙芬愈创甘油醚糖浆临床安全性病例登记研究</w:t>
            </w:r>
          </w:p>
        </w:tc>
      </w:tr>
      <w:tr w14:paraId="1931F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FC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F9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FD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呼吸内科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EB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评价胆木浸膏糖浆用药安全性的多中心真实世界临床研究</w:t>
            </w:r>
          </w:p>
        </w:tc>
      </w:tr>
      <w:tr w14:paraId="7FB58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0D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F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药物（GCP</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D7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感染科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CF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胡黄连总苷胶囊治疗非酒精性脂肪性肝炎有效性和安全性的随机、双盲、安慰剂平行对照、多中心Ⅱ</w:t>
            </w:r>
            <w:r>
              <w:rPr>
                <w:rStyle w:val="12"/>
                <w:rFonts w:hint="default" w:ascii="Times New Roman" w:hAnsi="Times New Roman" w:eastAsia="宋体" w:cs="Times New Roman"/>
                <w:sz w:val="18"/>
                <w:szCs w:val="18"/>
                <w:lang w:val="en-US" w:eastAsia="zh-CN" w:bidi="ar"/>
              </w:rPr>
              <w:t>期临床试验</w:t>
            </w:r>
          </w:p>
        </w:tc>
      </w:tr>
      <w:tr w14:paraId="7E855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45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4D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0A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感染科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9B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评价强肝胶囊用药安全性多中心真实世界研究</w:t>
            </w:r>
          </w:p>
        </w:tc>
      </w:tr>
      <w:tr w14:paraId="58437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29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9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1D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感染科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57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评价五灵胶囊用药安全性的多中心真实世界临床研究</w:t>
            </w:r>
          </w:p>
        </w:tc>
      </w:tr>
      <w:tr w14:paraId="2AC50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BF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6F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A6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肿瘤介入科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F0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观察生血宝合剂临床用药安全性的多中心登记性研究</w:t>
            </w:r>
          </w:p>
        </w:tc>
      </w:tr>
      <w:tr w14:paraId="53CE9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53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82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09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肿瘤介入科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49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评价生白口服液用药安全性多中心真实世界临床研究</w:t>
            </w:r>
          </w:p>
        </w:tc>
      </w:tr>
      <w:tr w14:paraId="5A467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31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0C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28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心血管内科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67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恒格列净对合并慢性心力衰竭的2</w:t>
            </w:r>
            <w:r>
              <w:rPr>
                <w:rStyle w:val="12"/>
                <w:rFonts w:hint="default" w:ascii="Times New Roman" w:hAnsi="Times New Roman" w:eastAsia="宋体" w:cs="Times New Roman"/>
                <w:sz w:val="18"/>
                <w:szCs w:val="18"/>
                <w:lang w:val="en-US" w:eastAsia="zh-CN" w:bidi="ar"/>
              </w:rPr>
              <w:t>型糖尿病患者心功能的影响：一项多中心、前瞻性、实效性随机对照临床研究</w:t>
            </w:r>
          </w:p>
        </w:tc>
      </w:tr>
      <w:tr w14:paraId="1D6A2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5D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9B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0E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心血管内科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AF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评价左西孟旦注射液用药安全性的多中心真实世界临床登记性研究</w:t>
            </w:r>
          </w:p>
        </w:tc>
      </w:tr>
      <w:tr w14:paraId="2AE29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55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FB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D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心血管内科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DC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基于真实世界的沙库巴曲缬沙坦钠片用药安全性临床登记性研究</w:t>
            </w:r>
          </w:p>
        </w:tc>
      </w:tr>
      <w:tr w14:paraId="47E55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09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69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1E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骨科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DF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评价通络祛痛膏用药安全性的多中心真实世界临床研究</w:t>
            </w:r>
          </w:p>
        </w:tc>
      </w:tr>
      <w:tr w14:paraId="227F6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B3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DF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F4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骨科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011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评价复方杜仲健骨颗粒用药安全性的多中性真实世界研究</w:t>
            </w:r>
          </w:p>
        </w:tc>
      </w:tr>
      <w:tr w14:paraId="7A85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3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3A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药物（IIT</w:t>
            </w:r>
            <w:r>
              <w:rPr>
                <w:rStyle w:val="12"/>
                <w:rFonts w:hint="default" w:ascii="Times New Roman" w:hAnsi="Times New Roman" w:eastAsia="宋体" w:cs="Times New Roman"/>
                <w:sz w:val="18"/>
                <w:szCs w:val="18"/>
                <w:lang w:val="en-US" w:eastAsia="zh-CN" w:bidi="ar"/>
              </w:rPr>
              <w:t>）</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B9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风湿免疫</w:t>
            </w:r>
          </w:p>
          <w:p w14:paraId="58BCFB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肾内科</w:t>
            </w:r>
          </w:p>
        </w:tc>
        <w:tc>
          <w:tcPr>
            <w:tcW w:w="7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00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评价海昆肾喜胶囊用药安全性的多中心真实世界临床研究</w:t>
            </w:r>
          </w:p>
        </w:tc>
      </w:tr>
    </w:tbl>
    <w:p w14:paraId="0C8AEF69">
      <w:pPr>
        <w:rPr>
          <w:rStyle w:val="8"/>
          <w:rFonts w:hint="default" w:ascii="Times New Roman" w:hAnsi="Times New Roman" w:eastAsia="宋体" w:cs="Times New Roman"/>
          <w:i w:val="0"/>
          <w:iCs w:val="0"/>
          <w:caps w:val="0"/>
          <w:color w:val="206457"/>
          <w:spacing w:val="0"/>
          <w:kern w:val="2"/>
          <w:sz w:val="28"/>
          <w:szCs w:val="28"/>
          <w:lang w:val="en-US" w:eastAsia="zh-CN" w:bidi="ar-SA"/>
        </w:rPr>
        <w:sectPr>
          <w:pgSz w:w="11906" w:h="16838"/>
          <w:pgMar w:top="1134" w:right="1800" w:bottom="1134" w:left="1800" w:header="851" w:footer="992" w:gutter="0"/>
          <w:cols w:space="425" w:num="1"/>
          <w:docGrid w:type="lines" w:linePitch="312" w:charSpace="0"/>
        </w:sectPr>
      </w:pPr>
    </w:p>
    <w:p w14:paraId="1F50BE30">
      <w:pPr>
        <w:rPr>
          <w:rFonts w:hint="eastAsia"/>
          <w:lang w:val="en-US" w:eastAsia="zh-CN"/>
        </w:rPr>
      </w:pPr>
      <w:r>
        <w:rPr>
          <w:rStyle w:val="8"/>
          <w:rFonts w:hint="eastAsia" w:ascii="Times New Roman" w:hAnsi="Times New Roman" w:eastAsia="宋体" w:cs="Times New Roman"/>
          <w:i w:val="0"/>
          <w:iCs w:val="0"/>
          <w:caps w:val="0"/>
          <w:color w:val="206457"/>
          <w:spacing w:val="0"/>
          <w:kern w:val="2"/>
          <w:sz w:val="28"/>
          <w:szCs w:val="28"/>
          <w:lang w:val="en-US" w:eastAsia="zh-CN" w:bidi="ar-SA"/>
        </w:rPr>
        <w:t>临床试验机构和伦理委员会基本信息</w:t>
      </w:r>
    </w:p>
    <w:tbl>
      <w:tblPr>
        <w:tblStyle w:val="6"/>
        <w:tblW w:w="7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5548"/>
      </w:tblGrid>
      <w:tr w14:paraId="327D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7" w:type="dxa"/>
            <w:vAlign w:val="center"/>
          </w:tcPr>
          <w:p w14:paraId="6ABB7A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ascii="Microsoft YaHei UI" w:hAnsi="Microsoft YaHei UI" w:eastAsia="Microsoft YaHei UI" w:cs="Microsoft YaHei UI"/>
                <w:i w:val="0"/>
                <w:iCs w:val="0"/>
                <w:caps w:val="0"/>
                <w:spacing w:val="8"/>
                <w:sz w:val="21"/>
                <w:szCs w:val="21"/>
              </w:rPr>
              <w:t>机构主任</w:t>
            </w:r>
          </w:p>
        </w:tc>
        <w:tc>
          <w:tcPr>
            <w:tcW w:w="5548" w:type="dxa"/>
            <w:vAlign w:val="center"/>
          </w:tcPr>
          <w:p w14:paraId="45D8155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rPr>
              <w:t>王金富</w:t>
            </w:r>
          </w:p>
        </w:tc>
      </w:tr>
      <w:tr w14:paraId="357C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7" w:type="dxa"/>
            <w:vAlign w:val="center"/>
          </w:tcPr>
          <w:p w14:paraId="36C8F91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rPr>
              <w:t>机构副主任</w:t>
            </w:r>
          </w:p>
        </w:tc>
        <w:tc>
          <w:tcPr>
            <w:tcW w:w="5548" w:type="dxa"/>
            <w:vAlign w:val="center"/>
          </w:tcPr>
          <w:p w14:paraId="68A4221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default"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lang w:val="en-US" w:eastAsia="zh-CN"/>
              </w:rPr>
              <w:t>蔡军波</w:t>
            </w:r>
          </w:p>
        </w:tc>
      </w:tr>
      <w:tr w14:paraId="695E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7" w:type="dxa"/>
            <w:vAlign w:val="center"/>
          </w:tcPr>
          <w:p w14:paraId="3ADBD926">
            <w:pPr>
              <w:spacing w:line="240" w:lineRule="auto"/>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伦理主任委员</w:t>
            </w:r>
          </w:p>
        </w:tc>
        <w:tc>
          <w:tcPr>
            <w:tcW w:w="5548" w:type="dxa"/>
            <w:vAlign w:val="center"/>
          </w:tcPr>
          <w:p w14:paraId="1C60E4E2">
            <w:pPr>
              <w:spacing w:line="240" w:lineRule="auto"/>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何彩娣</w:t>
            </w:r>
          </w:p>
        </w:tc>
      </w:tr>
      <w:tr w14:paraId="2AC0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327" w:type="dxa"/>
            <w:vAlign w:val="center"/>
          </w:tcPr>
          <w:p w14:paraId="325B99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rPr>
              <w:t>机构办公室主任</w:t>
            </w:r>
          </w:p>
        </w:tc>
        <w:tc>
          <w:tcPr>
            <w:tcW w:w="5548" w:type="dxa"/>
            <w:vAlign w:val="center"/>
          </w:tcPr>
          <w:p w14:paraId="6170487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napToGrid w:val="0"/>
              <w:spacing w:before="0" w:beforeAutospacing="0" w:after="0" w:afterAutospacing="0"/>
              <w:ind w:left="0" w:leftChars="0" w:right="0" w:rightChars="0"/>
              <w:jc w:val="center"/>
              <w:rPr>
                <w:rFonts w:hint="eastAsia" w:ascii="Microsoft YaHei UI" w:hAnsi="Microsoft YaHei UI" w:eastAsia="Microsoft YaHei UI" w:cs="Microsoft YaHei UI"/>
                <w:i w:val="0"/>
                <w:iCs w:val="0"/>
                <w:caps w:val="0"/>
                <w:spacing w:val="8"/>
                <w:sz w:val="21"/>
                <w:szCs w:val="21"/>
              </w:rPr>
            </w:pPr>
            <w:r>
              <w:rPr>
                <w:rFonts w:hint="eastAsia" w:ascii="Microsoft YaHei UI" w:hAnsi="Microsoft YaHei UI" w:eastAsia="Microsoft YaHei UI" w:cs="Microsoft YaHei UI"/>
                <w:i w:val="0"/>
                <w:iCs w:val="0"/>
                <w:caps w:val="0"/>
                <w:spacing w:val="8"/>
                <w:sz w:val="21"/>
                <w:szCs w:val="21"/>
              </w:rPr>
              <w:t>王彬辉</w:t>
            </w:r>
          </w:p>
          <w:p w14:paraId="0AEA75E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napToGrid w:val="0"/>
              <w:spacing w:before="0" w:beforeAutospacing="0" w:after="0" w:afterAutospacing="0"/>
              <w:ind w:left="0" w:leftChars="0" w:right="0" w:rightChars="0"/>
              <w:jc w:val="center"/>
              <w:rPr>
                <w:rFonts w:hint="eastAsia" w:eastAsia="Microsoft YaHei UI" w:asciiTheme="minorHAnsi" w:hAnsiTheme="minorHAnsi"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lang w:eastAsia="zh-CN"/>
              </w:rPr>
              <w:t>（</w:t>
            </w:r>
            <w:r>
              <w:rPr>
                <w:rFonts w:hint="eastAsia" w:ascii="Microsoft YaHei UI" w:hAnsi="Microsoft YaHei UI" w:eastAsia="Microsoft YaHei UI" w:cs="Microsoft YaHei UI"/>
                <w:i w:val="0"/>
                <w:iCs w:val="0"/>
                <w:caps w:val="0"/>
                <w:spacing w:val="8"/>
                <w:sz w:val="21"/>
                <w:szCs w:val="21"/>
                <w:lang w:val="en-US" w:eastAsia="zh-CN"/>
              </w:rPr>
              <w:t>13857686513微信同</w:t>
            </w:r>
            <w:r>
              <w:rPr>
                <w:rFonts w:hint="eastAsia" w:ascii="Microsoft YaHei UI" w:hAnsi="Microsoft YaHei UI" w:eastAsia="Microsoft YaHei UI" w:cs="Microsoft YaHei UI"/>
                <w:i w:val="0"/>
                <w:iCs w:val="0"/>
                <w:caps w:val="0"/>
                <w:spacing w:val="8"/>
                <w:sz w:val="21"/>
                <w:szCs w:val="21"/>
                <w:lang w:eastAsia="zh-CN"/>
              </w:rPr>
              <w:t>）</w:t>
            </w:r>
          </w:p>
        </w:tc>
      </w:tr>
      <w:tr w14:paraId="30C0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2327" w:type="dxa"/>
            <w:vAlign w:val="center"/>
          </w:tcPr>
          <w:p w14:paraId="076F235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rPr>
              <w:t>机构办公室副主任</w:t>
            </w:r>
          </w:p>
        </w:tc>
        <w:tc>
          <w:tcPr>
            <w:tcW w:w="5548" w:type="dxa"/>
            <w:vAlign w:val="center"/>
          </w:tcPr>
          <w:p w14:paraId="0E5841A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eastAsia" w:ascii="Microsoft YaHei UI" w:hAnsi="Microsoft YaHei UI" w:eastAsia="Microsoft YaHei UI" w:cs="Microsoft YaHei UI"/>
                <w:spacing w:val="8"/>
                <w:sz w:val="21"/>
                <w:szCs w:val="21"/>
                <w:highlight w:val="none"/>
              </w:rPr>
            </w:pPr>
            <w:r>
              <w:rPr>
                <w:rFonts w:hint="eastAsia" w:ascii="Microsoft YaHei UI" w:hAnsi="Microsoft YaHei UI" w:eastAsia="Microsoft YaHei UI" w:cs="Microsoft YaHei UI"/>
                <w:i w:val="0"/>
                <w:iCs w:val="0"/>
                <w:caps w:val="0"/>
                <w:spacing w:val="8"/>
                <w:sz w:val="21"/>
                <w:szCs w:val="21"/>
                <w:highlight w:val="none"/>
              </w:rPr>
              <w:t>洪伟勇、王石健</w:t>
            </w:r>
          </w:p>
          <w:p w14:paraId="201861B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napToGrid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highlight w:val="none"/>
              </w:rPr>
              <w:t>15957616600、18605769889</w:t>
            </w:r>
          </w:p>
        </w:tc>
      </w:tr>
      <w:tr w14:paraId="20ED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27" w:type="dxa"/>
            <w:vAlign w:val="center"/>
          </w:tcPr>
          <w:p w14:paraId="19DAFA3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rPr>
              <w:t>机构办公室秘书</w:t>
            </w:r>
          </w:p>
        </w:tc>
        <w:tc>
          <w:tcPr>
            <w:tcW w:w="5548" w:type="dxa"/>
            <w:vAlign w:val="center"/>
          </w:tcPr>
          <w:p w14:paraId="35A32F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eastAsia" w:ascii="Microsoft YaHei UI" w:hAnsi="Microsoft YaHei UI" w:eastAsia="Microsoft YaHei UI" w:cs="Microsoft YaHei UI"/>
                <w:i w:val="0"/>
                <w:iCs w:val="0"/>
                <w:caps w:val="0"/>
                <w:spacing w:val="8"/>
                <w:sz w:val="21"/>
                <w:szCs w:val="21"/>
                <w:lang w:val="en-US" w:eastAsia="zh-CN"/>
              </w:rPr>
            </w:pPr>
            <w:r>
              <w:rPr>
                <w:rFonts w:hint="eastAsia" w:ascii="Microsoft YaHei UI" w:hAnsi="Microsoft YaHei UI" w:eastAsia="Microsoft YaHei UI" w:cs="Microsoft YaHei UI"/>
                <w:i w:val="0"/>
                <w:iCs w:val="0"/>
                <w:caps w:val="0"/>
                <w:spacing w:val="8"/>
                <w:sz w:val="21"/>
                <w:szCs w:val="21"/>
                <w:lang w:val="en-US" w:eastAsia="zh-CN"/>
              </w:rPr>
              <w:t>罗浛绮</w:t>
            </w:r>
          </w:p>
          <w:p w14:paraId="1B2B654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heme="minorHAnsi" w:hAnsiTheme="minorHAnsi" w:eastAsiaTheme="minorEastAsia" w:cstheme="minorBidi"/>
                <w:kern w:val="0"/>
                <w:sz w:val="21"/>
                <w:szCs w:val="21"/>
                <w:lang w:val="en-US" w:eastAsia="zh-CN" w:bidi="ar"/>
              </w:rPr>
            </w:pPr>
            <w:r>
              <w:rPr>
                <w:rFonts w:hint="eastAsia" w:ascii="Microsoft YaHei UI" w:hAnsi="Microsoft YaHei UI" w:eastAsia="Microsoft YaHei UI" w:cs="Microsoft YaHei UI"/>
                <w:i w:val="0"/>
                <w:iCs w:val="0"/>
                <w:caps w:val="0"/>
                <w:spacing w:val="8"/>
                <w:sz w:val="21"/>
                <w:szCs w:val="21"/>
                <w:lang w:val="en-US" w:eastAsia="zh-CN"/>
              </w:rPr>
              <w:t>15958720089</w:t>
            </w:r>
          </w:p>
        </w:tc>
      </w:tr>
      <w:tr w14:paraId="64A3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27" w:type="dxa"/>
            <w:vAlign w:val="center"/>
          </w:tcPr>
          <w:p w14:paraId="57D452B5">
            <w:pPr>
              <w:spacing w:line="240" w:lineRule="auto"/>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伦理秘书</w:t>
            </w:r>
          </w:p>
        </w:tc>
        <w:tc>
          <w:tcPr>
            <w:tcW w:w="5548" w:type="dxa"/>
            <w:vAlign w:val="center"/>
          </w:tcPr>
          <w:p w14:paraId="0235FC13">
            <w:pPr>
              <w:pStyle w:val="4"/>
              <w:widowControl/>
              <w:pBdr>
                <w:top w:val="none" w:color="auto" w:sz="0" w:space="0"/>
                <w:left w:val="none" w:color="auto" w:sz="0" w:space="0"/>
                <w:bottom w:val="none" w:color="auto" w:sz="0" w:space="0"/>
                <w:right w:val="none" w:color="auto" w:sz="0" w:space="0"/>
              </w:pBdr>
              <w:wordWrap w:val="0"/>
              <w:snapToGrid w:val="0"/>
              <w:spacing w:beforeAutospacing="0" w:afterAutospacing="0" w:line="240" w:lineRule="auto"/>
              <w:jc w:val="center"/>
              <w:rPr>
                <w:rFonts w:hint="eastAsia" w:ascii="Microsoft YaHei UI" w:hAnsi="Microsoft YaHei UI" w:eastAsia="Microsoft YaHei UI" w:cs="Microsoft YaHei UI"/>
                <w:spacing w:val="8"/>
                <w:kern w:val="0"/>
                <w:sz w:val="21"/>
                <w:szCs w:val="21"/>
                <w:highlight w:val="none"/>
                <w:lang w:val="en-US" w:eastAsia="zh-CN" w:bidi="ar"/>
              </w:rPr>
            </w:pPr>
            <w:r>
              <w:rPr>
                <w:rFonts w:hint="eastAsia" w:ascii="Microsoft YaHei UI" w:hAnsi="Microsoft YaHei UI" w:eastAsia="Microsoft YaHei UI" w:cs="Microsoft YaHei UI"/>
                <w:spacing w:val="8"/>
                <w:kern w:val="0"/>
                <w:sz w:val="21"/>
                <w:szCs w:val="21"/>
                <w:highlight w:val="none"/>
                <w:lang w:val="en-US" w:eastAsia="zh-CN" w:bidi="ar"/>
              </w:rPr>
              <w:t>汪佳兵</w:t>
            </w:r>
          </w:p>
          <w:p w14:paraId="10364CD0">
            <w:pPr>
              <w:pStyle w:val="4"/>
              <w:widowControl/>
              <w:pBdr>
                <w:top w:val="none" w:color="auto" w:sz="0" w:space="0"/>
                <w:left w:val="none" w:color="auto" w:sz="0" w:space="0"/>
                <w:bottom w:val="none" w:color="auto" w:sz="0" w:space="0"/>
                <w:right w:val="none" w:color="auto" w:sz="0" w:space="0"/>
              </w:pBdr>
              <w:wordWrap w:val="0"/>
              <w:snapToGrid w:val="0"/>
              <w:spacing w:beforeAutospacing="0" w:afterAutospacing="0" w:line="240" w:lineRule="auto"/>
              <w:jc w:val="center"/>
              <w:rPr>
                <w:rFonts w:hint="eastAsia" w:ascii="微软雅黑" w:hAnsi="微软雅黑" w:eastAsia="微软雅黑" w:cs="微软雅黑"/>
                <w:kern w:val="2"/>
                <w:sz w:val="21"/>
                <w:szCs w:val="21"/>
                <w:lang w:val="en-US" w:eastAsia="zh-CN" w:bidi="ar-SA"/>
              </w:rPr>
            </w:pPr>
            <w:r>
              <w:rPr>
                <w:rFonts w:hint="eastAsia" w:ascii="Microsoft YaHei UI" w:hAnsi="Microsoft YaHei UI" w:eastAsia="Microsoft YaHei UI" w:cs="Microsoft YaHei UI"/>
                <w:i w:val="0"/>
                <w:iCs w:val="0"/>
                <w:caps w:val="0"/>
                <w:spacing w:val="8"/>
                <w:sz w:val="21"/>
                <w:szCs w:val="21"/>
                <w:highlight w:val="none"/>
                <w:lang w:eastAsia="zh-CN" w:bidi="ar"/>
              </w:rPr>
              <w:t>（</w:t>
            </w:r>
            <w:r>
              <w:rPr>
                <w:rFonts w:hint="eastAsia" w:ascii="Microsoft YaHei UI" w:hAnsi="Microsoft YaHei UI" w:eastAsia="Microsoft YaHei UI" w:cs="Microsoft YaHei UI"/>
                <w:spacing w:val="8"/>
                <w:kern w:val="0"/>
                <w:sz w:val="21"/>
                <w:szCs w:val="21"/>
                <w:highlight w:val="none"/>
                <w:lang w:val="en-US" w:eastAsia="zh-CN" w:bidi="ar"/>
              </w:rPr>
              <w:t>13738531936</w:t>
            </w:r>
            <w:r>
              <w:rPr>
                <w:rFonts w:hint="eastAsia" w:ascii="Microsoft YaHei UI" w:hAnsi="Microsoft YaHei UI" w:eastAsia="Microsoft YaHei UI" w:cs="Microsoft YaHei UI"/>
                <w:i w:val="0"/>
                <w:iCs w:val="0"/>
                <w:caps w:val="0"/>
                <w:spacing w:val="8"/>
                <w:sz w:val="21"/>
                <w:szCs w:val="21"/>
                <w:highlight w:val="none"/>
                <w:lang w:val="en-US" w:eastAsia="zh-CN" w:bidi="ar"/>
              </w:rPr>
              <w:t>微信同</w:t>
            </w:r>
            <w:r>
              <w:rPr>
                <w:rFonts w:hint="eastAsia" w:ascii="Microsoft YaHei UI" w:hAnsi="Microsoft YaHei UI" w:eastAsia="Microsoft YaHei UI" w:cs="Microsoft YaHei UI"/>
                <w:i w:val="0"/>
                <w:iCs w:val="0"/>
                <w:caps w:val="0"/>
                <w:spacing w:val="8"/>
                <w:sz w:val="21"/>
                <w:szCs w:val="21"/>
                <w:highlight w:val="none"/>
                <w:lang w:eastAsia="zh-CN" w:bidi="ar"/>
              </w:rPr>
              <w:t>）</w:t>
            </w:r>
          </w:p>
        </w:tc>
      </w:tr>
      <w:tr w14:paraId="63F0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220A26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sz w:val="21"/>
                <w:szCs w:val="21"/>
                <w:highlight w:val="none"/>
              </w:rPr>
              <w:t>接待时间</w:t>
            </w:r>
          </w:p>
        </w:tc>
        <w:tc>
          <w:tcPr>
            <w:tcW w:w="5548" w:type="dxa"/>
            <w:vAlign w:val="center"/>
          </w:tcPr>
          <w:p w14:paraId="51EF18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eastAsia" w:ascii="Microsoft YaHei UI" w:hAnsi="Microsoft YaHei UI" w:eastAsia="Microsoft YaHei UI" w:cs="Microsoft YaHei UI"/>
                <w:i w:val="0"/>
                <w:iCs w:val="0"/>
                <w:caps w:val="0"/>
                <w:spacing w:val="8"/>
                <w:sz w:val="21"/>
                <w:szCs w:val="21"/>
                <w:highlight w:val="none"/>
                <w:lang w:val="en-US" w:eastAsia="zh-CN"/>
              </w:rPr>
            </w:pPr>
            <w:r>
              <w:rPr>
                <w:rFonts w:hint="eastAsia" w:ascii="Microsoft YaHei UI" w:hAnsi="Microsoft YaHei UI" w:eastAsia="Microsoft YaHei UI" w:cs="Microsoft YaHei UI"/>
                <w:i w:val="0"/>
                <w:iCs w:val="0"/>
                <w:caps w:val="0"/>
                <w:spacing w:val="8"/>
                <w:sz w:val="21"/>
                <w:szCs w:val="21"/>
                <w:highlight w:val="none"/>
              </w:rPr>
              <w:t>工作日</w:t>
            </w:r>
          </w:p>
        </w:tc>
      </w:tr>
      <w:tr w14:paraId="4FB0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2327" w:type="dxa"/>
            <w:vAlign w:val="center"/>
          </w:tcPr>
          <w:p w14:paraId="3B7EC7E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sz w:val="21"/>
                <w:szCs w:val="21"/>
                <w:highlight w:val="none"/>
              </w:rPr>
              <w:t>机构办公地点</w:t>
            </w:r>
          </w:p>
        </w:tc>
        <w:tc>
          <w:tcPr>
            <w:tcW w:w="5548" w:type="dxa"/>
            <w:vAlign w:val="center"/>
          </w:tcPr>
          <w:p w14:paraId="238352B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eastAsia" w:ascii="Microsoft YaHei UI" w:hAnsi="Microsoft YaHei UI" w:eastAsia="Microsoft YaHei UI" w:cs="Microsoft YaHei UI"/>
                <w:i w:val="0"/>
                <w:iCs w:val="0"/>
                <w:caps w:val="0"/>
                <w:spacing w:val="8"/>
                <w:sz w:val="21"/>
                <w:szCs w:val="21"/>
                <w:highlight w:val="none"/>
                <w:lang w:val="en-US" w:eastAsia="zh-CN"/>
              </w:rPr>
            </w:pPr>
            <w:r>
              <w:rPr>
                <w:rFonts w:hint="eastAsia" w:ascii="Microsoft YaHei UI" w:hAnsi="Microsoft YaHei UI" w:eastAsia="Microsoft YaHei UI" w:cs="Microsoft YaHei UI"/>
                <w:i w:val="0"/>
                <w:iCs w:val="0"/>
                <w:caps w:val="0"/>
                <w:spacing w:val="8"/>
                <w:sz w:val="21"/>
                <w:szCs w:val="21"/>
                <w:highlight w:val="none"/>
                <w:lang w:val="en-US" w:eastAsia="zh-CN"/>
              </w:rPr>
              <w:t>浙江省台州市椒江区市府大道东581号台州市立医院门诊-1楼（地下车库）</w:t>
            </w:r>
          </w:p>
        </w:tc>
      </w:tr>
      <w:tr w14:paraId="59EF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1F695905">
            <w:pPr>
              <w:spacing w:line="240" w:lineRule="auto"/>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伦理办公室地址</w:t>
            </w:r>
          </w:p>
        </w:tc>
        <w:tc>
          <w:tcPr>
            <w:tcW w:w="5548" w:type="dxa"/>
            <w:vAlign w:val="center"/>
          </w:tcPr>
          <w:p w14:paraId="5A51131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eastAsia" w:ascii="Microsoft YaHei UI" w:hAnsi="Microsoft YaHei UI" w:eastAsia="Microsoft YaHei UI" w:cs="Microsoft YaHei UI"/>
                <w:i w:val="0"/>
                <w:iCs w:val="0"/>
                <w:caps w:val="0"/>
                <w:spacing w:val="8"/>
                <w:sz w:val="21"/>
                <w:szCs w:val="21"/>
                <w:highlight w:val="none"/>
                <w:lang w:val="en-US" w:eastAsia="zh-CN"/>
              </w:rPr>
            </w:pPr>
            <w:r>
              <w:rPr>
                <w:rFonts w:hint="eastAsia" w:ascii="Microsoft YaHei UI" w:hAnsi="Microsoft YaHei UI" w:eastAsia="Microsoft YaHei UI" w:cs="Microsoft YaHei UI"/>
                <w:i w:val="0"/>
                <w:iCs w:val="0"/>
                <w:caps w:val="0"/>
                <w:spacing w:val="8"/>
                <w:sz w:val="21"/>
                <w:szCs w:val="21"/>
                <w:highlight w:val="none"/>
                <w:lang w:val="en-US" w:eastAsia="zh-CN"/>
              </w:rPr>
              <w:t>浙江省台州市椒江区市府大道东581号台州市立医院门诊-1楼（地下车库）</w:t>
            </w:r>
          </w:p>
        </w:tc>
      </w:tr>
      <w:tr w14:paraId="31AE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631EC58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sz w:val="21"/>
                <w:szCs w:val="21"/>
                <w:highlight w:val="none"/>
              </w:rPr>
              <w:t>机构办公室电话</w:t>
            </w:r>
          </w:p>
        </w:tc>
        <w:tc>
          <w:tcPr>
            <w:tcW w:w="5548" w:type="dxa"/>
            <w:vAlign w:val="center"/>
          </w:tcPr>
          <w:p w14:paraId="24968A8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default" w:ascii="Microsoft YaHei UI" w:hAnsi="Microsoft YaHei UI" w:eastAsia="Microsoft YaHei UI" w:cs="Microsoft YaHei UI"/>
                <w:i w:val="0"/>
                <w:iCs w:val="0"/>
                <w:caps w:val="0"/>
                <w:spacing w:val="8"/>
                <w:sz w:val="21"/>
                <w:szCs w:val="21"/>
                <w:highlight w:val="none"/>
                <w:lang w:val="en-US" w:eastAsia="zh-CN"/>
              </w:rPr>
            </w:pPr>
            <w:r>
              <w:rPr>
                <w:rFonts w:hint="default" w:ascii="Microsoft YaHei UI" w:hAnsi="Microsoft YaHei UI" w:eastAsia="Microsoft YaHei UI" w:cs="Microsoft YaHei UI"/>
                <w:i w:val="0"/>
                <w:iCs w:val="0"/>
                <w:caps w:val="0"/>
                <w:spacing w:val="8"/>
                <w:sz w:val="21"/>
                <w:szCs w:val="21"/>
                <w:highlight w:val="none"/>
                <w:lang w:val="en-US" w:eastAsia="zh-CN"/>
              </w:rPr>
              <w:t>0576-88855208</w:t>
            </w:r>
          </w:p>
        </w:tc>
      </w:tr>
      <w:tr w14:paraId="07F4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5E50034F">
            <w:pPr>
              <w:spacing w:line="240" w:lineRule="auto"/>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伦理</w:t>
            </w:r>
            <w:r>
              <w:rPr>
                <w:rFonts w:hint="eastAsia" w:ascii="Microsoft YaHei UI" w:hAnsi="Microsoft YaHei UI" w:eastAsia="Microsoft YaHei UI" w:cs="Microsoft YaHei UI"/>
                <w:i w:val="0"/>
                <w:iCs w:val="0"/>
                <w:caps w:val="0"/>
                <w:spacing w:val="8"/>
                <w:sz w:val="21"/>
                <w:szCs w:val="21"/>
                <w:highlight w:val="none"/>
              </w:rPr>
              <w:t>办公室</w:t>
            </w:r>
            <w:r>
              <w:rPr>
                <w:rFonts w:hint="eastAsia" w:ascii="微软雅黑" w:hAnsi="微软雅黑" w:eastAsia="微软雅黑" w:cs="微软雅黑"/>
                <w:sz w:val="21"/>
                <w:szCs w:val="21"/>
                <w:highlight w:val="none"/>
                <w:lang w:val="en-US" w:eastAsia="zh-CN"/>
              </w:rPr>
              <w:t>电话</w:t>
            </w:r>
          </w:p>
        </w:tc>
        <w:tc>
          <w:tcPr>
            <w:tcW w:w="5548" w:type="dxa"/>
            <w:vAlign w:val="center"/>
          </w:tcPr>
          <w:p w14:paraId="245AC354">
            <w:pPr>
              <w:spacing w:line="240" w:lineRule="auto"/>
              <w:jc w:val="center"/>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kern w:val="0"/>
                <w:sz w:val="21"/>
                <w:szCs w:val="21"/>
                <w:highlight w:val="none"/>
                <w:lang w:val="en-US" w:eastAsia="zh-CN" w:bidi="ar"/>
              </w:rPr>
              <w:t>0576-88852717</w:t>
            </w:r>
          </w:p>
        </w:tc>
      </w:tr>
      <w:tr w14:paraId="3A21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24A29C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Theme="minorHAnsi" w:hAnsiTheme="minorHAnsi" w:eastAsiaTheme="minorEastAsia" w:cstheme="minorBidi"/>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sz w:val="21"/>
                <w:szCs w:val="21"/>
                <w:highlight w:val="none"/>
              </w:rPr>
              <w:t>机构办公室邮箱</w:t>
            </w:r>
          </w:p>
        </w:tc>
        <w:tc>
          <w:tcPr>
            <w:tcW w:w="5548" w:type="dxa"/>
            <w:vAlign w:val="center"/>
          </w:tcPr>
          <w:p w14:paraId="7D9CA5F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default" w:ascii="Microsoft YaHei UI" w:hAnsi="Microsoft YaHei UI" w:eastAsia="Microsoft YaHei UI" w:cs="Microsoft YaHei UI"/>
                <w:i w:val="0"/>
                <w:iCs w:val="0"/>
                <w:caps w:val="0"/>
                <w:spacing w:val="8"/>
                <w:kern w:val="0"/>
                <w:sz w:val="21"/>
                <w:szCs w:val="21"/>
                <w:highlight w:val="none"/>
                <w:lang w:val="en-US" w:eastAsia="zh-CN" w:bidi="ar"/>
              </w:rPr>
              <w:t>tzmhgcp@163.com</w:t>
            </w:r>
          </w:p>
        </w:tc>
      </w:tr>
      <w:tr w14:paraId="7017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4085BBD8">
            <w:pPr>
              <w:spacing w:line="240" w:lineRule="auto"/>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伦理邮箱</w:t>
            </w:r>
          </w:p>
        </w:tc>
        <w:tc>
          <w:tcPr>
            <w:tcW w:w="5548" w:type="dxa"/>
            <w:vAlign w:val="center"/>
          </w:tcPr>
          <w:p w14:paraId="1E9583A8">
            <w:pPr>
              <w:spacing w:line="240" w:lineRule="auto"/>
              <w:jc w:val="center"/>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default" w:ascii="Microsoft YaHei UI" w:hAnsi="Microsoft YaHei UI" w:eastAsia="Microsoft YaHei UI" w:cs="Microsoft YaHei UI"/>
                <w:i w:val="0"/>
                <w:iCs w:val="0"/>
                <w:caps w:val="0"/>
                <w:spacing w:val="8"/>
                <w:kern w:val="0"/>
                <w:sz w:val="21"/>
                <w:szCs w:val="21"/>
                <w:highlight w:val="none"/>
                <w:lang w:val="en-US" w:eastAsia="zh-CN" w:bidi="ar"/>
              </w:rPr>
              <w:t>tzmhec@163.com</w:t>
            </w:r>
          </w:p>
        </w:tc>
      </w:tr>
      <w:tr w14:paraId="0E27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tcPr>
          <w:p w14:paraId="7B71849A">
            <w:pPr>
              <w:jc w:val="center"/>
              <w:rPr>
                <w:rFonts w:hint="eastAsia"/>
                <w:highlight w:val="none"/>
                <w:vertAlign w:val="baseline"/>
                <w:lang w:val="en-US" w:eastAsia="zh-CN"/>
              </w:rPr>
            </w:pPr>
            <w:r>
              <w:rPr>
                <w:rFonts w:hint="eastAsia" w:ascii="Microsoft YaHei UI" w:hAnsi="Microsoft YaHei UI" w:eastAsia="Microsoft YaHei UI" w:cs="Microsoft YaHei UI"/>
                <w:i w:val="0"/>
                <w:iCs w:val="0"/>
                <w:caps w:val="0"/>
                <w:spacing w:val="8"/>
                <w:sz w:val="21"/>
                <w:szCs w:val="21"/>
                <w:highlight w:val="none"/>
              </w:rPr>
              <w:t>机构网址</w:t>
            </w:r>
          </w:p>
        </w:tc>
        <w:tc>
          <w:tcPr>
            <w:tcW w:w="5548" w:type="dxa"/>
            <w:vAlign w:val="center"/>
          </w:tcPr>
          <w:p w14:paraId="371D8BE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default" w:ascii="Microsoft YaHei UI" w:hAnsi="Microsoft YaHei UI" w:eastAsia="Microsoft YaHei UI" w:cs="Microsoft YaHei UI"/>
                <w:i w:val="0"/>
                <w:iCs w:val="0"/>
                <w:caps w:val="0"/>
                <w:spacing w:val="8"/>
                <w:kern w:val="0"/>
                <w:sz w:val="21"/>
                <w:szCs w:val="21"/>
                <w:highlight w:val="none"/>
                <w:lang w:val="en-US" w:eastAsia="zh-CN" w:bidi="ar"/>
              </w:rPr>
              <w:t>http://www.tzmh.com/home/ywlcsy_jgdt/list</w:t>
            </w:r>
            <w:r>
              <w:rPr>
                <w:rFonts w:hint="default" w:ascii="Microsoft YaHei UI" w:hAnsi="Microsoft YaHei UI" w:eastAsia="Microsoft YaHei UI" w:cs="Microsoft YaHei UI"/>
                <w:i w:val="0"/>
                <w:iCs w:val="0"/>
                <w:caps w:val="0"/>
                <w:spacing w:val="8"/>
                <w:kern w:val="0"/>
                <w:sz w:val="21"/>
                <w:szCs w:val="21"/>
                <w:highlight w:val="none"/>
                <w:lang w:val="en-US" w:eastAsia="zh-CN" w:bidi="ar"/>
              </w:rPr>
              <w:fldChar w:fldCharType="begin"/>
            </w:r>
            <w:r>
              <w:rPr>
                <w:rFonts w:hint="default" w:ascii="Microsoft YaHei UI" w:hAnsi="Microsoft YaHei UI" w:eastAsia="Microsoft YaHei UI" w:cs="Microsoft YaHei UI"/>
                <w:i w:val="0"/>
                <w:iCs w:val="0"/>
                <w:caps w:val="0"/>
                <w:spacing w:val="8"/>
                <w:kern w:val="0"/>
                <w:sz w:val="21"/>
                <w:szCs w:val="21"/>
                <w:highlight w:val="none"/>
                <w:lang w:val="en-US" w:eastAsia="zh-CN" w:bidi="ar"/>
              </w:rPr>
              <w:instrText xml:space="preserve"> HYPERLINK "http://www.tzmh.com/" </w:instrText>
            </w:r>
            <w:r>
              <w:rPr>
                <w:rFonts w:hint="default" w:ascii="Microsoft YaHei UI" w:hAnsi="Microsoft YaHei UI" w:eastAsia="Microsoft YaHei UI" w:cs="Microsoft YaHei UI"/>
                <w:i w:val="0"/>
                <w:iCs w:val="0"/>
                <w:caps w:val="0"/>
                <w:spacing w:val="8"/>
                <w:kern w:val="0"/>
                <w:sz w:val="21"/>
                <w:szCs w:val="21"/>
                <w:highlight w:val="none"/>
                <w:lang w:val="en-US" w:eastAsia="zh-CN" w:bidi="ar"/>
              </w:rPr>
              <w:fldChar w:fldCharType="separate"/>
            </w:r>
            <w:r>
              <w:rPr>
                <w:rFonts w:hint="default" w:ascii="Microsoft YaHei UI" w:hAnsi="Microsoft YaHei UI" w:eastAsia="Microsoft YaHei UI" w:cs="Microsoft YaHei UI"/>
                <w:i w:val="0"/>
                <w:iCs w:val="0"/>
                <w:caps w:val="0"/>
                <w:spacing w:val="8"/>
                <w:kern w:val="0"/>
                <w:sz w:val="21"/>
                <w:szCs w:val="21"/>
                <w:highlight w:val="none"/>
                <w:lang w:val="en-US" w:eastAsia="zh-CN" w:bidi="ar"/>
              </w:rPr>
              <w:fldChar w:fldCharType="end"/>
            </w:r>
          </w:p>
        </w:tc>
      </w:tr>
      <w:tr w14:paraId="4591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tcPr>
          <w:p w14:paraId="4C62F89B">
            <w:pPr>
              <w:jc w:val="center"/>
              <w:rPr>
                <w:rFonts w:hint="eastAsia"/>
                <w:highlight w:val="none"/>
                <w:vertAlign w:val="baseline"/>
                <w:lang w:val="en-US" w:eastAsia="zh-CN"/>
              </w:rPr>
            </w:pPr>
            <w:r>
              <w:rPr>
                <w:rFonts w:hint="eastAsia" w:ascii="Microsoft YaHei UI" w:hAnsi="Microsoft YaHei UI" w:eastAsia="Microsoft YaHei UI" w:cs="Microsoft YaHei UI"/>
                <w:i w:val="0"/>
                <w:iCs w:val="0"/>
                <w:caps w:val="0"/>
                <w:spacing w:val="8"/>
                <w:sz w:val="21"/>
                <w:szCs w:val="21"/>
                <w:highlight w:val="none"/>
              </w:rPr>
              <w:t>组织机构代码</w:t>
            </w:r>
          </w:p>
        </w:tc>
        <w:tc>
          <w:tcPr>
            <w:tcW w:w="5548" w:type="dxa"/>
            <w:vAlign w:val="center"/>
          </w:tcPr>
          <w:p w14:paraId="4167B4B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ind w:left="0" w:right="0"/>
              <w:jc w:val="center"/>
              <w:textAlignment w:val="auto"/>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default" w:ascii="Microsoft YaHei UI" w:hAnsi="Microsoft YaHei UI" w:eastAsia="Microsoft YaHei UI" w:cs="Microsoft YaHei UI"/>
                <w:i w:val="0"/>
                <w:iCs w:val="0"/>
                <w:caps w:val="0"/>
                <w:spacing w:val="8"/>
                <w:kern w:val="0"/>
                <w:sz w:val="21"/>
                <w:szCs w:val="21"/>
                <w:highlight w:val="none"/>
                <w:lang w:val="en-US" w:eastAsia="zh-CN" w:bidi="ar"/>
              </w:rPr>
              <w:t>12331002472630676D</w:t>
            </w:r>
          </w:p>
        </w:tc>
      </w:tr>
      <w:tr w14:paraId="2686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68B20AAC">
            <w:pPr>
              <w:spacing w:line="240" w:lineRule="auto"/>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伦理会议召开时间</w:t>
            </w:r>
          </w:p>
        </w:tc>
        <w:tc>
          <w:tcPr>
            <w:tcW w:w="5548" w:type="dxa"/>
            <w:vAlign w:val="center"/>
          </w:tcPr>
          <w:p w14:paraId="785F138C">
            <w:pPr>
              <w:spacing w:line="240" w:lineRule="auto"/>
              <w:jc w:val="center"/>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kern w:val="0"/>
                <w:sz w:val="21"/>
                <w:szCs w:val="21"/>
                <w:highlight w:val="none"/>
                <w:lang w:val="en-US" w:eastAsia="zh-CN" w:bidi="ar"/>
              </w:rPr>
              <w:t>1次/月（可根据需要调整）</w:t>
            </w:r>
          </w:p>
        </w:tc>
      </w:tr>
      <w:tr w14:paraId="0BA9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11082FB4">
            <w:pPr>
              <w:spacing w:line="240" w:lineRule="auto"/>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伦理审查形式</w:t>
            </w:r>
          </w:p>
        </w:tc>
        <w:tc>
          <w:tcPr>
            <w:tcW w:w="5548" w:type="dxa"/>
            <w:vAlign w:val="center"/>
          </w:tcPr>
          <w:p w14:paraId="6F6BC011">
            <w:pPr>
              <w:spacing w:line="240" w:lineRule="auto"/>
              <w:jc w:val="center"/>
              <w:rPr>
                <w:rFonts w:hint="default" w:ascii="Microsoft YaHei UI" w:hAnsi="Microsoft YaHei UI" w:eastAsia="Microsoft YaHei UI" w:cs="Microsoft YaHei UI"/>
                <w:i w:val="0"/>
                <w:iCs w:val="0"/>
                <w:caps w:val="0"/>
                <w:spacing w:val="8"/>
                <w:kern w:val="0"/>
                <w:sz w:val="21"/>
                <w:szCs w:val="21"/>
                <w:highlight w:val="none"/>
                <w:lang w:val="en-US" w:eastAsia="zh-CN" w:bidi="ar"/>
              </w:rPr>
            </w:pPr>
            <w:r>
              <w:rPr>
                <w:rFonts w:hint="eastAsia" w:ascii="Microsoft YaHei UI" w:hAnsi="Microsoft YaHei UI" w:eastAsia="Microsoft YaHei UI" w:cs="Microsoft YaHei UI"/>
                <w:i w:val="0"/>
                <w:iCs w:val="0"/>
                <w:caps w:val="0"/>
                <w:spacing w:val="8"/>
                <w:kern w:val="0"/>
                <w:sz w:val="21"/>
                <w:szCs w:val="21"/>
                <w:highlight w:val="none"/>
                <w:lang w:val="en-US" w:eastAsia="zh-CN" w:bidi="ar"/>
              </w:rPr>
              <w:t>会议审查、快速审查</w:t>
            </w:r>
          </w:p>
        </w:tc>
      </w:tr>
      <w:tr w14:paraId="2C57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42747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伦理审查费用</w:t>
            </w:r>
          </w:p>
        </w:tc>
        <w:tc>
          <w:tcPr>
            <w:tcW w:w="5548" w:type="dxa"/>
            <w:vAlign w:val="center"/>
          </w:tcPr>
          <w:p w14:paraId="7AA86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会议审查5300元/项，快速审查2120元/项</w:t>
            </w:r>
          </w:p>
        </w:tc>
      </w:tr>
      <w:tr w14:paraId="2589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vAlign w:val="center"/>
          </w:tcPr>
          <w:p w14:paraId="3327B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立项流程、文档下载等</w:t>
            </w:r>
          </w:p>
        </w:tc>
        <w:tc>
          <w:tcPr>
            <w:tcW w:w="5548" w:type="dxa"/>
            <w:vAlign w:val="center"/>
          </w:tcPr>
          <w:p w14:paraId="17470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 xml:space="preserve">进 </w:t>
            </w:r>
            <w:r>
              <w:rPr>
                <w:rFonts w:hint="default" w:ascii="微软雅黑" w:hAnsi="微软雅黑" w:eastAsia="微软雅黑" w:cs="微软雅黑"/>
                <w:sz w:val="21"/>
                <w:szCs w:val="21"/>
                <w:highlight w:val="none"/>
                <w:lang w:val="en-US" w:eastAsia="zh-CN"/>
              </w:rPr>
              <w:t>台州市立医院官网</w:t>
            </w:r>
            <w:r>
              <w:rPr>
                <w:rFonts w:hint="eastAsia" w:ascii="微软雅黑" w:hAnsi="微软雅黑" w:eastAsia="微软雅黑" w:cs="微软雅黑"/>
                <w:sz w:val="21"/>
                <w:szCs w:val="21"/>
                <w:highlight w:val="none"/>
                <w:lang w:val="en-US" w:eastAsia="zh-CN"/>
              </w:rPr>
              <w:t>-</w:t>
            </w:r>
            <w:r>
              <w:rPr>
                <w:rFonts w:hint="default" w:ascii="微软雅黑" w:hAnsi="微软雅黑" w:eastAsia="微软雅黑" w:cs="微软雅黑"/>
                <w:sz w:val="21"/>
                <w:szCs w:val="21"/>
                <w:highlight w:val="none"/>
                <w:lang w:val="en-US" w:eastAsia="zh-CN"/>
              </w:rPr>
              <w:t>-院务公开-</w:t>
            </w:r>
            <w:r>
              <w:rPr>
                <w:rFonts w:hint="eastAsia" w:ascii="微软雅黑" w:hAnsi="微软雅黑" w:eastAsia="微软雅黑" w:cs="微软雅黑"/>
                <w:sz w:val="21"/>
                <w:szCs w:val="21"/>
                <w:highlight w:val="none"/>
                <w:lang w:val="en-US" w:eastAsia="zh-CN"/>
              </w:rPr>
              <w:t>-</w:t>
            </w:r>
            <w:r>
              <w:rPr>
                <w:rFonts w:hint="default" w:ascii="微软雅黑" w:hAnsi="微软雅黑" w:eastAsia="微软雅黑" w:cs="微软雅黑"/>
                <w:sz w:val="21"/>
                <w:szCs w:val="21"/>
                <w:highlight w:val="none"/>
                <w:lang w:val="en-US" w:eastAsia="zh-CN"/>
              </w:rPr>
              <w:t>药物临床试验</w:t>
            </w:r>
            <w:r>
              <w:rPr>
                <w:rFonts w:hint="eastAsia" w:ascii="微软雅黑" w:hAnsi="微软雅黑" w:eastAsia="微软雅黑" w:cs="微软雅黑"/>
                <w:sz w:val="21"/>
                <w:szCs w:val="21"/>
                <w:highlight w:val="none"/>
                <w:lang w:val="en-US" w:eastAsia="zh-CN"/>
              </w:rPr>
              <w:t xml:space="preserve"> 查看</w:t>
            </w:r>
          </w:p>
        </w:tc>
      </w:tr>
    </w:tbl>
    <w:p w14:paraId="1482F719">
      <w:pPr>
        <w:rPr>
          <w:rFonts w:hint="eastAsia"/>
          <w:sz w:val="52"/>
          <w:szCs w:val="52"/>
          <w:highlight w:val="none"/>
          <w:lang w:val="en-US" w:eastAsia="zh-CN"/>
        </w:rPr>
      </w:pPr>
      <w:r>
        <w:rPr>
          <w:rFonts w:hint="eastAsia"/>
          <w:sz w:val="52"/>
          <w:szCs w:val="52"/>
          <w:highlight w:val="none"/>
          <w:lang w:val="en-US" w:eastAsia="zh-CN"/>
        </w:rPr>
        <w:br w:type="page"/>
      </w:r>
    </w:p>
    <w:p w14:paraId="7EBC17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重症医学科：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4C55399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i w:val="0"/>
          <w:iCs w:val="0"/>
          <w:caps w:val="0"/>
          <w:color w:val="3E3E3E"/>
          <w:spacing w:val="0"/>
          <w:sz w:val="21"/>
          <w:szCs w:val="21"/>
          <w:highlight w:val="none"/>
        </w:rPr>
        <w:t>林荣海，教授，院党委书记，主任医师，硕士生导师，浙江省卫生高层次创新人才，台州市“林荣海名医工作室”领衔人；担任浙江省医学会重症医学分会委员、浙江省重症医学质量控制中心专家组成员、台州市医学会重症医学分会候任主任委员、台州市重症医学质量控制中心副主任等职务。</w:t>
      </w:r>
    </w:p>
    <w:p w14:paraId="6FF5F24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2448A78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default" w:ascii="Times New Roman" w:hAnsi="Times New Roman" w:eastAsia="宋体" w:cs="Times New Roman"/>
          <w:i w:val="0"/>
          <w:iCs w:val="0"/>
          <w:caps w:val="0"/>
          <w:color w:val="3E3E3E"/>
          <w:spacing w:val="0"/>
          <w:sz w:val="21"/>
          <w:szCs w:val="21"/>
          <w:highlight w:val="none"/>
        </w:rPr>
        <w:t>重症医学科核定床位35张，是台州市重点临床专科、台州市脓毒症重点实验室、浙江省重症医学临床研究中心、浙江省重症医学临床医学研究联盟成员单位。科室设备齐全，拥有有创呼吸机，无创呼吸机，便携式呼吸机，PICCO，CRRT，纤维支气管镜，便携式监护仪，电子升降温毯，床旁超声等医疗设别。常规开展各种监测治疗手段，包括气管切开、有创及无创机械通气、PICCO、氧代谢监测、重症超声、纤维支气管镜引导肺泡灌洗、主动脉球囊反搏、床边临时心脏起搏器、各种血液净化治疗术、ECMO等，年收治各种危重症病人650余例。</w:t>
      </w:r>
      <w:r>
        <w:rPr>
          <w:rFonts w:hint="eastAsia" w:ascii="Times New Roman" w:hAnsi="Times New Roman" w:eastAsia="宋体" w:cs="Times New Roman"/>
          <w:i w:val="0"/>
          <w:iCs w:val="0"/>
          <w:caps w:val="0"/>
          <w:color w:val="3E3E3E"/>
          <w:spacing w:val="0"/>
          <w:sz w:val="21"/>
          <w:szCs w:val="21"/>
          <w:highlight w:val="none"/>
          <w:lang w:val="en-US" w:eastAsia="zh-CN"/>
        </w:rPr>
        <w:t>已完成注册研究1项，并开展多项临床研究。</w:t>
      </w:r>
    </w:p>
    <w:p w14:paraId="0AF0C30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0"/>
          <w:sz w:val="28"/>
          <w:szCs w:val="28"/>
          <w:highlight w:val="none"/>
          <w:lang w:val="en-US" w:eastAsia="zh-CN"/>
        </w:rPr>
      </w:pPr>
    </w:p>
    <w:p w14:paraId="603C653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FF0000"/>
          <w:spacing w:val="0"/>
          <w:sz w:val="22"/>
          <w:szCs w:val="22"/>
          <w:highlight w:val="none"/>
        </w:rPr>
      </w:pPr>
      <w:r>
        <w:rPr>
          <w:rStyle w:val="8"/>
          <w:rFonts w:hint="eastAsia" w:ascii="Times New Roman" w:hAnsi="Times New Roman" w:eastAsia="宋体" w:cs="Times New Roman"/>
          <w:i w:val="0"/>
          <w:iCs w:val="0"/>
          <w:caps w:val="0"/>
          <w:color w:val="FF0000"/>
          <w:spacing w:val="0"/>
          <w:sz w:val="28"/>
          <w:szCs w:val="28"/>
          <w:highlight w:val="none"/>
          <w:lang w:val="en-US" w:eastAsia="zh-CN"/>
        </w:rPr>
        <w:t>心血管内科：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702DA3A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i w:val="0"/>
          <w:iCs w:val="0"/>
          <w:caps w:val="0"/>
          <w:color w:val="3E3E3E"/>
          <w:spacing w:val="0"/>
          <w:sz w:val="21"/>
          <w:szCs w:val="21"/>
          <w:highlight w:val="none"/>
        </w:rPr>
        <w:t>徐丹蕾，主任医师</w:t>
      </w:r>
      <w:r>
        <w:rPr>
          <w:rFonts w:hint="eastAsia" w:ascii="Times New Roman" w:hAnsi="Times New Roman" w:eastAsia="宋体" w:cs="Times New Roman"/>
          <w:i w:val="0"/>
          <w:iCs w:val="0"/>
          <w:caps w:val="0"/>
          <w:color w:val="3E3E3E"/>
          <w:spacing w:val="0"/>
          <w:sz w:val="21"/>
          <w:szCs w:val="21"/>
          <w:highlight w:val="none"/>
          <w:lang w:eastAsia="zh-CN"/>
        </w:rPr>
        <w:t>；</w:t>
      </w:r>
      <w:r>
        <w:rPr>
          <w:rFonts w:hint="eastAsia" w:ascii="Times New Roman" w:hAnsi="Times New Roman" w:eastAsia="宋体" w:cs="Times New Roman"/>
          <w:i w:val="0"/>
          <w:iCs w:val="0"/>
          <w:caps w:val="0"/>
          <w:color w:val="3E3E3E"/>
          <w:spacing w:val="0"/>
          <w:sz w:val="21"/>
          <w:szCs w:val="21"/>
          <w:highlight w:val="none"/>
          <w:lang w:val="en-US" w:eastAsia="zh-CN"/>
        </w:rPr>
        <w:t>担任</w:t>
      </w:r>
      <w:r>
        <w:rPr>
          <w:rFonts w:hint="default" w:ascii="Times New Roman" w:hAnsi="Times New Roman" w:eastAsia="宋体" w:cs="Times New Roman"/>
          <w:i w:val="0"/>
          <w:iCs w:val="0"/>
          <w:caps w:val="0"/>
          <w:color w:val="3E3E3E"/>
          <w:spacing w:val="0"/>
          <w:sz w:val="21"/>
          <w:szCs w:val="21"/>
          <w:highlight w:val="none"/>
        </w:rPr>
        <w:t>浙江省医学会心血管分会委员、浙江省康复医学会心脏介入与心衰康复专业委员会第一届委员会常务委员、浙江省医师协会心血管内科分会委员、浙江省医师协会内科医师分会第二届委员会委员、台州医学会心血管分会副主任委员。</w:t>
      </w:r>
    </w:p>
    <w:p w14:paraId="2BFB3F2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059EE8A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default" w:ascii="Times New Roman" w:hAnsi="Times New Roman" w:eastAsia="宋体" w:cs="Times New Roman"/>
          <w:i w:val="0"/>
          <w:iCs w:val="0"/>
          <w:caps w:val="0"/>
          <w:color w:val="3E3E3E"/>
          <w:spacing w:val="0"/>
          <w:sz w:val="21"/>
          <w:szCs w:val="21"/>
          <w:highlight w:val="none"/>
        </w:rPr>
        <w:t>心血管内科通过国家级标准版胸痛中心认证已常规开展冠心病球囊扩张（包括药物球囊）及支架植入术、心脏起搏器安置术、心律失常射频消融术、先天性心脏病封堵术等心脏介入技术。科室设有冠心病监护病房（CCU）、配置现代化心脏诊疗设备和心脏介入心导管室，2台大型血管减影血管造影仪（DSA），进口心脏除颤仪、监护仪、心脏起搏设备，心脏多导生理记录仪，心脏射频消融仪，主动脉内气囊反搏仪（IABP），体外膜肺氧合（ECMO）等。科室</w:t>
      </w:r>
      <w:r>
        <w:rPr>
          <w:rFonts w:hint="default" w:ascii="Times New Roman" w:hAnsi="Times New Roman" w:eastAsia="宋体" w:cs="Times New Roman"/>
          <w:color w:val="3E3E3E"/>
          <w:sz w:val="21"/>
          <w:szCs w:val="21"/>
          <w:highlight w:val="none"/>
        </w:rPr>
        <w:t>年出院</w:t>
      </w:r>
      <w:r>
        <w:rPr>
          <w:rFonts w:hint="default" w:ascii="Times New Roman" w:hAnsi="Times New Roman" w:eastAsia="宋体" w:cs="Times New Roman"/>
          <w:color w:val="3E3E3E"/>
          <w:sz w:val="21"/>
          <w:szCs w:val="21"/>
          <w:highlight w:val="none"/>
          <w:lang w:val="en-US" w:eastAsia="zh-CN"/>
        </w:rPr>
        <w:t>3000余</w:t>
      </w:r>
      <w:r>
        <w:rPr>
          <w:rFonts w:hint="default" w:ascii="Times New Roman" w:hAnsi="Times New Roman" w:eastAsia="宋体" w:cs="Times New Roman"/>
          <w:color w:val="3E3E3E"/>
          <w:sz w:val="21"/>
          <w:szCs w:val="21"/>
          <w:highlight w:val="none"/>
        </w:rPr>
        <w:t>人次</w:t>
      </w:r>
      <w:r>
        <w:rPr>
          <w:rFonts w:hint="default" w:asciiTheme="minorAscii" w:hAnsiTheme="minorAscii" w:eastAsiaTheme="minorEastAsia"/>
          <w:sz w:val="21"/>
          <w:highlight w:val="none"/>
        </w:rPr>
        <w:t>，</w:t>
      </w:r>
      <w:r>
        <w:rPr>
          <w:rFonts w:hint="default" w:ascii="Times New Roman" w:hAnsi="Times New Roman" w:eastAsia="宋体" w:cs="Times New Roman"/>
          <w:i w:val="0"/>
          <w:iCs w:val="0"/>
          <w:caps w:val="0"/>
          <w:color w:val="3E3E3E"/>
          <w:spacing w:val="0"/>
          <w:sz w:val="21"/>
          <w:szCs w:val="21"/>
          <w:highlight w:val="none"/>
        </w:rPr>
        <w:t>年门诊</w:t>
      </w:r>
      <w:r>
        <w:rPr>
          <w:rFonts w:hint="eastAsia" w:ascii="Times New Roman" w:hAnsi="Times New Roman" w:eastAsia="宋体" w:cs="Times New Roman"/>
          <w:i w:val="0"/>
          <w:iCs w:val="0"/>
          <w:caps w:val="0"/>
          <w:color w:val="3E3E3E"/>
          <w:spacing w:val="0"/>
          <w:sz w:val="21"/>
          <w:szCs w:val="21"/>
          <w:highlight w:val="none"/>
          <w:lang w:val="en-US" w:eastAsia="zh-CN"/>
        </w:rPr>
        <w:t>65000余</w:t>
      </w:r>
      <w:r>
        <w:rPr>
          <w:rFonts w:hint="default" w:ascii="Times New Roman" w:hAnsi="Times New Roman" w:eastAsia="宋体" w:cs="Times New Roman"/>
          <w:i w:val="0"/>
          <w:iCs w:val="0"/>
          <w:caps w:val="0"/>
          <w:color w:val="3E3E3E"/>
          <w:spacing w:val="0"/>
          <w:sz w:val="21"/>
          <w:szCs w:val="21"/>
          <w:highlight w:val="none"/>
        </w:rPr>
        <w:t>人次。</w:t>
      </w:r>
      <w:r>
        <w:rPr>
          <w:rFonts w:hint="eastAsia" w:ascii="Times New Roman" w:hAnsi="Times New Roman" w:eastAsia="宋体" w:cs="Times New Roman"/>
          <w:i w:val="0"/>
          <w:iCs w:val="0"/>
          <w:caps w:val="0"/>
          <w:color w:val="3E3E3E"/>
          <w:spacing w:val="0"/>
          <w:sz w:val="21"/>
          <w:szCs w:val="21"/>
          <w:highlight w:val="none"/>
          <w:lang w:val="en-US" w:eastAsia="zh-CN"/>
        </w:rPr>
        <w:t>已开展注册研究1项，并开展多项临床研究。</w:t>
      </w:r>
    </w:p>
    <w:p w14:paraId="0F72DE3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rPr>
      </w:pPr>
    </w:p>
    <w:p w14:paraId="0CF1395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感染科：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45AB72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eastAsia" w:ascii="Times New Roman" w:hAnsi="Times New Roman" w:eastAsia="宋体" w:cs="Times New Roman"/>
          <w:i w:val="0"/>
          <w:iCs w:val="0"/>
          <w:caps w:val="0"/>
          <w:color w:val="3E3E3E"/>
          <w:spacing w:val="0"/>
          <w:sz w:val="21"/>
          <w:szCs w:val="21"/>
          <w:highlight w:val="none"/>
          <w:lang w:eastAsia="zh-CN"/>
        </w:rPr>
        <w:t>金茜，感染科主任，主任医师；</w:t>
      </w:r>
      <w:r>
        <w:rPr>
          <w:rFonts w:hint="default" w:ascii="Times New Roman" w:hAnsi="Times New Roman" w:eastAsia="宋体" w:cs="Times New Roman"/>
          <w:i w:val="0"/>
          <w:iCs w:val="0"/>
          <w:caps w:val="0"/>
          <w:color w:val="3E3E3E"/>
          <w:spacing w:val="0"/>
          <w:sz w:val="21"/>
          <w:szCs w:val="21"/>
          <w:highlight w:val="none"/>
          <w:lang w:val="en-US" w:eastAsia="zh-CN"/>
        </w:rPr>
        <w:t>担任台州市医学会医学感染病学分会副主委、微生物与免疫学分会候任主委、浙江省医学会热带病和寄生虫病学分会委员、浙江省传染病诊治医疗质量控制中心委员会委员，浙江省数理学会肝病学分会常委。</w:t>
      </w:r>
    </w:p>
    <w:p w14:paraId="57DA782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lang w:val="en-US" w:eastAsia="zh-CN"/>
        </w:rPr>
      </w:pPr>
    </w:p>
    <w:p w14:paraId="1B1A78F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default" w:ascii="Times New Roman" w:hAnsi="Times New Roman" w:eastAsia="宋体" w:cs="Times New Roman"/>
          <w:i w:val="0"/>
          <w:iCs w:val="0"/>
          <w:caps w:val="0"/>
          <w:color w:val="3E3E3E"/>
          <w:spacing w:val="0"/>
          <w:sz w:val="21"/>
          <w:szCs w:val="21"/>
          <w:highlight w:val="none"/>
        </w:rPr>
        <w:t>感染科</w:t>
      </w:r>
      <w:r>
        <w:rPr>
          <w:rFonts w:hint="eastAsia" w:ascii="Times New Roman" w:hAnsi="Times New Roman" w:eastAsia="宋体" w:cs="Times New Roman"/>
          <w:i w:val="0"/>
          <w:iCs w:val="0"/>
          <w:caps w:val="0"/>
          <w:color w:val="3E3E3E"/>
          <w:spacing w:val="0"/>
          <w:sz w:val="21"/>
          <w:szCs w:val="21"/>
          <w:highlight w:val="none"/>
          <w:lang w:val="en-US" w:eastAsia="zh-CN"/>
        </w:rPr>
        <w:t>开放</w:t>
      </w:r>
      <w:r>
        <w:rPr>
          <w:rFonts w:hint="default" w:ascii="Times New Roman" w:hAnsi="Times New Roman" w:eastAsia="宋体" w:cs="Times New Roman"/>
          <w:i w:val="0"/>
          <w:iCs w:val="0"/>
          <w:caps w:val="0"/>
          <w:color w:val="3E3E3E"/>
          <w:spacing w:val="0"/>
          <w:sz w:val="21"/>
          <w:szCs w:val="21"/>
          <w:highlight w:val="none"/>
        </w:rPr>
        <w:t>床位30张，配备了无创肝纤维化和脂肪肝定量检测设备FibroScanÒ 502 Touch，常规开展肝穿刺检查，开展脂肪肝MRI-PDFF检查。科室病种多样，病源丰富，能满足临床试验的需求。涉及病种主要包括：病毒性肝炎、脂肪肝、肝硬化、肝癌、脓毒血症、肺结核、艾滋病及各种感染性疾病。年出院1200余人</w:t>
      </w:r>
      <w:r>
        <w:rPr>
          <w:rFonts w:hint="eastAsia" w:ascii="Times New Roman" w:hAnsi="Times New Roman" w:eastAsia="宋体" w:cs="Times New Roman"/>
          <w:i w:val="0"/>
          <w:iCs w:val="0"/>
          <w:caps w:val="0"/>
          <w:color w:val="3E3E3E"/>
          <w:spacing w:val="0"/>
          <w:sz w:val="21"/>
          <w:szCs w:val="21"/>
          <w:highlight w:val="none"/>
          <w:lang w:val="en-US" w:eastAsia="zh-CN"/>
        </w:rPr>
        <w:t>次</w:t>
      </w:r>
      <w:r>
        <w:rPr>
          <w:rFonts w:hint="default" w:ascii="Times New Roman" w:hAnsi="Times New Roman" w:eastAsia="宋体" w:cs="Times New Roman"/>
          <w:i w:val="0"/>
          <w:iCs w:val="0"/>
          <w:caps w:val="0"/>
          <w:color w:val="3E3E3E"/>
          <w:spacing w:val="0"/>
          <w:sz w:val="21"/>
          <w:szCs w:val="21"/>
          <w:highlight w:val="none"/>
        </w:rPr>
        <w:t>，年门诊量</w:t>
      </w:r>
      <w:r>
        <w:rPr>
          <w:rFonts w:hint="eastAsia" w:ascii="Times New Roman" w:hAnsi="Times New Roman" w:eastAsia="宋体" w:cs="Times New Roman"/>
          <w:i w:val="0"/>
          <w:iCs w:val="0"/>
          <w:caps w:val="0"/>
          <w:color w:val="3E3E3E"/>
          <w:spacing w:val="0"/>
          <w:sz w:val="21"/>
          <w:szCs w:val="21"/>
          <w:highlight w:val="none"/>
          <w:lang w:val="en-US" w:eastAsia="zh-CN"/>
        </w:rPr>
        <w:t>6</w:t>
      </w:r>
      <w:r>
        <w:rPr>
          <w:rFonts w:hint="default" w:ascii="Times New Roman" w:hAnsi="Times New Roman" w:eastAsia="宋体" w:cs="Times New Roman"/>
          <w:i w:val="0"/>
          <w:iCs w:val="0"/>
          <w:caps w:val="0"/>
          <w:color w:val="3E3E3E"/>
          <w:spacing w:val="0"/>
          <w:sz w:val="21"/>
          <w:szCs w:val="21"/>
          <w:highlight w:val="none"/>
        </w:rPr>
        <w:t>0000余人次。</w:t>
      </w:r>
      <w:r>
        <w:rPr>
          <w:rFonts w:hint="eastAsia" w:ascii="Times New Roman" w:hAnsi="Times New Roman" w:eastAsia="宋体" w:cs="Times New Roman"/>
          <w:i w:val="0"/>
          <w:iCs w:val="0"/>
          <w:caps w:val="0"/>
          <w:color w:val="3E3E3E"/>
          <w:spacing w:val="0"/>
          <w:sz w:val="21"/>
          <w:szCs w:val="21"/>
          <w:highlight w:val="none"/>
          <w:lang w:val="en-US" w:eastAsia="zh-CN"/>
        </w:rPr>
        <w:t>已开展注册研究1项，并开展多项临床研究。</w:t>
      </w:r>
    </w:p>
    <w:p w14:paraId="7FF176C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174F48E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sz w:val="28"/>
          <w:szCs w:val="28"/>
          <w:highlight w:val="none"/>
          <w:lang w:val="en-US" w:eastAsia="zh-CN"/>
        </w:rPr>
      </w:pPr>
      <w:r>
        <w:rPr>
          <w:rStyle w:val="8"/>
          <w:rFonts w:hint="default" w:ascii="Times New Roman" w:hAnsi="Times New Roman" w:eastAsia="宋体" w:cs="Times New Roman"/>
          <w:i w:val="0"/>
          <w:iCs w:val="0"/>
          <w:caps w:val="0"/>
          <w:color w:val="FF0000"/>
          <w:spacing w:val="0"/>
          <w:sz w:val="28"/>
          <w:szCs w:val="28"/>
          <w:highlight w:val="none"/>
          <w:lang w:val="en-US" w:eastAsia="zh-CN"/>
        </w:rPr>
        <w:t>内分泌科</w:t>
      </w:r>
      <w:r>
        <w:rPr>
          <w:rStyle w:val="8"/>
          <w:rFonts w:hint="eastAsia" w:ascii="Times New Roman" w:hAnsi="Times New Roman" w:eastAsia="宋体" w:cs="Times New Roman"/>
          <w:i w:val="0"/>
          <w:iCs w:val="0"/>
          <w:caps w:val="0"/>
          <w:color w:val="FF0000"/>
          <w:spacing w:val="0"/>
          <w:sz w:val="28"/>
          <w:szCs w:val="28"/>
          <w:highlight w:val="none"/>
          <w:lang w:val="en-US" w:eastAsia="zh-CN"/>
        </w:rPr>
        <w:t>：</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51CD7C3D">
      <w:pPr>
        <w:rPr>
          <w:rFonts w:hint="default" w:ascii="Times New Roman" w:hAnsi="Times New Roman" w:eastAsia="宋体" w:cs="Times New Roman"/>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pacing w:val="0"/>
          <w:sz w:val="21"/>
          <w:szCs w:val="21"/>
          <w:highlight w:val="none"/>
        </w:rPr>
        <w:t>何斐，内分泌科主任，主任医师</w:t>
      </w:r>
      <w:r>
        <w:rPr>
          <w:rFonts w:hint="eastAsia" w:ascii="Times New Roman" w:hAnsi="Times New Roman" w:eastAsia="宋体" w:cs="Times New Roman"/>
          <w:spacing w:val="0"/>
          <w:sz w:val="21"/>
          <w:szCs w:val="21"/>
          <w:highlight w:val="none"/>
          <w:lang w:eastAsia="zh-CN"/>
        </w:rPr>
        <w:t>；</w:t>
      </w:r>
      <w:r>
        <w:rPr>
          <w:rFonts w:hint="eastAsia" w:ascii="Times New Roman" w:hAnsi="Times New Roman" w:eastAsia="宋体" w:cs="Times New Roman"/>
          <w:spacing w:val="0"/>
          <w:sz w:val="21"/>
          <w:szCs w:val="21"/>
          <w:highlight w:val="none"/>
          <w:lang w:val="en-US" w:eastAsia="zh-CN"/>
        </w:rPr>
        <w:t>担任</w:t>
      </w:r>
      <w:r>
        <w:rPr>
          <w:rFonts w:hint="default" w:ascii="Times New Roman" w:hAnsi="Times New Roman" w:eastAsia="宋体" w:cs="Times New Roman"/>
          <w:spacing w:val="0"/>
          <w:sz w:val="21"/>
          <w:szCs w:val="21"/>
          <w:highlight w:val="none"/>
        </w:rPr>
        <w:t>中国老年学和老年医学学会糖尿病分会委员</w:t>
      </w:r>
      <w:r>
        <w:rPr>
          <w:rFonts w:hint="eastAsia" w:ascii="Times New Roman" w:hAnsi="Times New Roman" w:eastAsia="宋体" w:cs="Times New Roman"/>
          <w:spacing w:val="0"/>
          <w:sz w:val="21"/>
          <w:szCs w:val="21"/>
          <w:highlight w:val="none"/>
          <w:lang w:eastAsia="zh-CN"/>
        </w:rPr>
        <w:t>、</w:t>
      </w:r>
      <w:r>
        <w:rPr>
          <w:rFonts w:hint="default" w:ascii="Times New Roman" w:hAnsi="Times New Roman" w:eastAsia="宋体" w:cs="Times New Roman"/>
          <w:spacing w:val="0"/>
          <w:sz w:val="21"/>
          <w:szCs w:val="21"/>
          <w:highlight w:val="none"/>
        </w:rPr>
        <w:t>台州市医学会内分泌分会副主任委员</w:t>
      </w:r>
      <w:r>
        <w:rPr>
          <w:rFonts w:hint="eastAsia" w:ascii="Times New Roman" w:hAnsi="Times New Roman" w:eastAsia="宋体" w:cs="Times New Roman"/>
          <w:spacing w:val="0"/>
          <w:sz w:val="21"/>
          <w:szCs w:val="21"/>
          <w:highlight w:val="none"/>
          <w:lang w:eastAsia="zh-CN"/>
        </w:rPr>
        <w:t>、</w:t>
      </w:r>
      <w:r>
        <w:rPr>
          <w:rFonts w:hint="default" w:ascii="Times New Roman" w:hAnsi="Times New Roman" w:eastAsia="宋体" w:cs="Times New Roman"/>
          <w:spacing w:val="0"/>
          <w:sz w:val="21"/>
          <w:szCs w:val="21"/>
          <w:highlight w:val="none"/>
        </w:rPr>
        <w:t>台州市医学会身心医学副主任委员。</w:t>
      </w:r>
    </w:p>
    <w:p w14:paraId="44359FF5">
      <w:pPr>
        <w:rPr>
          <w:rFonts w:hint="eastAsia" w:ascii="Times New Roman" w:hAnsi="Times New Roman" w:eastAsia="宋体" w:cs="Times New Roman"/>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eastAsia" w:ascii="Times New Roman" w:hAnsi="Times New Roman" w:eastAsia="宋体" w:cs="Times New Roman"/>
          <w:spacing w:val="0"/>
          <w:sz w:val="21"/>
          <w:szCs w:val="21"/>
          <w:highlight w:val="none"/>
        </w:rPr>
        <w:t>内分泌代谢病科集临床、科研、教学于一体，是“浙南糖尿病足病联盟会员单位”，被授予全国“糖尿病健康教育管理认证单位”称号。开放床位30张，每月收治住院病人100人次以上，主要为糖尿病及其急慢性并发症、甲状腺疾病、痛风、肥胖、高脂血症、内分泌性高血压、肾上腺疾病、垂体疾病、甲状旁腺疾病等。每天门诊诊治病人达200人次以上。科室</w:t>
      </w:r>
      <w:r>
        <w:rPr>
          <w:rFonts w:hint="eastAsia" w:ascii="Times New Roman" w:hAnsi="Times New Roman" w:eastAsia="宋体" w:cs="Times New Roman"/>
          <w:spacing w:val="0"/>
          <w:sz w:val="21"/>
          <w:szCs w:val="21"/>
          <w:highlight w:val="none"/>
          <w:lang w:val="en-US" w:eastAsia="zh-CN"/>
        </w:rPr>
        <w:t>目前已开展10余项II、III药物临床试验项目</w:t>
      </w:r>
      <w:r>
        <w:rPr>
          <w:rFonts w:hint="eastAsia" w:ascii="Times New Roman" w:hAnsi="Times New Roman" w:eastAsia="宋体" w:cs="Times New Roman"/>
          <w:spacing w:val="0"/>
          <w:sz w:val="21"/>
          <w:szCs w:val="21"/>
          <w:highlight w:val="none"/>
        </w:rPr>
        <w:t>。</w:t>
      </w:r>
    </w:p>
    <w:p w14:paraId="3AAD057A">
      <w:pPr>
        <w:rPr>
          <w:rFonts w:hint="eastAsia"/>
          <w:highlight w:val="none"/>
        </w:rPr>
      </w:pPr>
    </w:p>
    <w:p w14:paraId="171E06C8">
      <w:pPr>
        <w:rPr>
          <w:rStyle w:val="8"/>
          <w:rFonts w:hint="eastAsia"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呼吸内科：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714CFA4D">
      <w:pPr>
        <w:rPr>
          <w:rFonts w:hint="default" w:asciiTheme="minorAscii" w:hAnsiTheme="minorAscii" w:eastAsiaTheme="minorEastAsia"/>
          <w:sz w:val="21"/>
          <w:highlight w:val="none"/>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heme="minorAscii" w:hAnsiTheme="minorAscii" w:eastAsiaTheme="minorEastAsia"/>
          <w:sz w:val="21"/>
          <w:highlight w:val="none"/>
        </w:rPr>
        <w:t>李隆祥，主任医师</w:t>
      </w:r>
      <w:r>
        <w:rPr>
          <w:rFonts w:hint="eastAsia" w:asciiTheme="minorAscii" w:hAnsiTheme="minorAscii"/>
          <w:sz w:val="21"/>
          <w:highlight w:val="none"/>
          <w:lang w:eastAsia="zh-CN"/>
        </w:rPr>
        <w:t>；</w:t>
      </w:r>
      <w:r>
        <w:rPr>
          <w:rFonts w:hint="eastAsia" w:asciiTheme="minorAscii" w:hAnsiTheme="minorAscii"/>
          <w:sz w:val="21"/>
          <w:highlight w:val="none"/>
          <w:lang w:val="en-US" w:eastAsia="zh-CN"/>
        </w:rPr>
        <w:t>担任</w:t>
      </w:r>
      <w:r>
        <w:rPr>
          <w:rFonts w:hint="default" w:asciiTheme="minorAscii" w:hAnsiTheme="minorAscii" w:eastAsiaTheme="minorEastAsia"/>
          <w:sz w:val="21"/>
          <w:highlight w:val="none"/>
        </w:rPr>
        <w:t>浙江省医学会呼吸病分会委员</w:t>
      </w:r>
      <w:r>
        <w:rPr>
          <w:rFonts w:hint="eastAsia" w:asciiTheme="minorAscii" w:hAnsiTheme="minorAscii"/>
          <w:sz w:val="21"/>
          <w:highlight w:val="none"/>
          <w:lang w:eastAsia="zh-CN"/>
        </w:rPr>
        <w:t>、</w:t>
      </w:r>
      <w:r>
        <w:rPr>
          <w:rFonts w:hint="default" w:asciiTheme="minorAscii" w:hAnsiTheme="minorAscii" w:eastAsiaTheme="minorEastAsia"/>
          <w:sz w:val="21"/>
          <w:highlight w:val="none"/>
        </w:rPr>
        <w:t>浙江省首届肺功能联盟委员</w:t>
      </w:r>
      <w:r>
        <w:rPr>
          <w:rFonts w:hint="eastAsia" w:asciiTheme="minorAscii" w:hAnsiTheme="minorAscii"/>
          <w:sz w:val="21"/>
          <w:highlight w:val="none"/>
          <w:lang w:eastAsia="zh-CN"/>
        </w:rPr>
        <w:t>、</w:t>
      </w:r>
      <w:r>
        <w:rPr>
          <w:rFonts w:hint="default" w:asciiTheme="minorAscii" w:hAnsiTheme="minorAscii" w:eastAsiaTheme="minorEastAsia"/>
          <w:sz w:val="21"/>
          <w:highlight w:val="none"/>
        </w:rPr>
        <w:t>浙江省首届肺血管联盟委员</w:t>
      </w:r>
      <w:r>
        <w:rPr>
          <w:rFonts w:hint="eastAsia" w:asciiTheme="minorAscii" w:hAnsiTheme="minorAscii"/>
          <w:sz w:val="21"/>
          <w:highlight w:val="none"/>
          <w:lang w:eastAsia="zh-CN"/>
        </w:rPr>
        <w:t>、</w:t>
      </w:r>
      <w:r>
        <w:rPr>
          <w:rFonts w:hint="default" w:asciiTheme="minorAscii" w:hAnsiTheme="minorAscii" w:eastAsiaTheme="minorEastAsia"/>
          <w:sz w:val="21"/>
          <w:highlight w:val="none"/>
        </w:rPr>
        <w:t>浙江省首届肺移植联盟委员。</w:t>
      </w:r>
    </w:p>
    <w:p w14:paraId="15A5CDAB">
      <w:pPr>
        <w:rPr>
          <w:rFonts w:hint="default" w:asciiTheme="minorAscii" w:hAnsiTheme="minorAscii" w:eastAsiaTheme="minorEastAsia"/>
          <w:sz w:val="21"/>
          <w:highlight w:val="none"/>
        </w:rPr>
      </w:pPr>
    </w:p>
    <w:p w14:paraId="040D7F9E">
      <w:pPr>
        <w:rPr>
          <w:rFonts w:hint="default" w:asciiTheme="minorAscii" w:hAnsiTheme="minorAscii" w:eastAsiaTheme="minorEastAsia"/>
          <w:sz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default" w:asciiTheme="minorAscii" w:hAnsiTheme="minorAscii" w:eastAsiaTheme="minorEastAsia"/>
          <w:sz w:val="21"/>
          <w:highlight w:val="none"/>
        </w:rPr>
        <w:t>呼吸和危重症医学科病源病种充足，能满足临床试验的需求。涉及病种主要包括：支气管肺癌、COPD、支气管哮喘、间质性肺疾病、支气管扩张、肺部感染、呼吸衰竭、肺栓塞、睡眠呼吸暂停综合征、肺结核等疾病。年出院</w:t>
      </w:r>
      <w:r>
        <w:rPr>
          <w:rFonts w:hint="eastAsia" w:asciiTheme="minorAscii" w:hAnsiTheme="minorAscii"/>
          <w:sz w:val="21"/>
          <w:highlight w:val="none"/>
          <w:lang w:val="en-US" w:eastAsia="zh-CN"/>
        </w:rPr>
        <w:t>3000</w:t>
      </w:r>
      <w:r>
        <w:rPr>
          <w:rFonts w:hint="default" w:asciiTheme="minorAscii" w:hAnsiTheme="minorAscii" w:eastAsiaTheme="minorEastAsia"/>
          <w:sz w:val="21"/>
          <w:highlight w:val="none"/>
          <w:lang w:val="en-US" w:eastAsia="zh-CN"/>
        </w:rPr>
        <w:t>余</w:t>
      </w:r>
      <w:r>
        <w:rPr>
          <w:rFonts w:hint="default" w:asciiTheme="minorAscii" w:hAnsiTheme="minorAscii" w:eastAsiaTheme="minorEastAsia"/>
          <w:sz w:val="21"/>
          <w:highlight w:val="none"/>
        </w:rPr>
        <w:t>人次，年门诊量</w:t>
      </w:r>
      <w:r>
        <w:rPr>
          <w:rFonts w:hint="eastAsia" w:asciiTheme="minorAscii" w:hAnsiTheme="minorAscii"/>
          <w:sz w:val="21"/>
          <w:highlight w:val="none"/>
          <w:lang w:val="en-US" w:eastAsia="zh-CN"/>
        </w:rPr>
        <w:t>50000</w:t>
      </w:r>
      <w:r>
        <w:rPr>
          <w:rFonts w:hint="default" w:asciiTheme="minorAscii" w:hAnsiTheme="minorAscii" w:eastAsiaTheme="minorEastAsia"/>
          <w:sz w:val="21"/>
          <w:highlight w:val="none"/>
          <w:lang w:val="en-US" w:eastAsia="zh-CN"/>
        </w:rPr>
        <w:t>余</w:t>
      </w:r>
      <w:r>
        <w:rPr>
          <w:rFonts w:hint="default" w:asciiTheme="minorAscii" w:hAnsiTheme="minorAscii" w:eastAsiaTheme="minorEastAsia"/>
          <w:sz w:val="21"/>
          <w:highlight w:val="none"/>
        </w:rPr>
        <w:t>人次，其中慢阻肺在全省重点监测病种排名前十。</w:t>
      </w:r>
      <w:r>
        <w:rPr>
          <w:rFonts w:hint="eastAsia" w:asciiTheme="minorAscii" w:hAnsiTheme="minorAscii"/>
          <w:sz w:val="21"/>
          <w:highlight w:val="none"/>
          <w:lang w:val="en-US" w:eastAsia="zh-CN"/>
        </w:rPr>
        <w:t>已参加Globle注册研究1项，临床研究多项。</w:t>
      </w:r>
    </w:p>
    <w:p w14:paraId="4BABF032">
      <w:pPr>
        <w:rPr>
          <w:rFonts w:hint="eastAsia"/>
          <w:highlight w:val="none"/>
        </w:rPr>
      </w:pPr>
    </w:p>
    <w:p w14:paraId="4BA9040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血液肿瘤内科：药物</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备案</w:t>
      </w:r>
    </w:p>
    <w:p w14:paraId="640DCC3F">
      <w:pPr>
        <w:rPr>
          <w:rFonts w:hint="eastAsia"/>
          <w:highlight w:val="none"/>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eastAsia"/>
          <w:highlight w:val="none"/>
        </w:rPr>
        <w:t>花京剩，血液肿瘤科、化疗科主任，主任医师，医学博士，教授，硕导；担任浙江省医师协会肿瘤精准治疗专业委员会委员、浙江省医师协会血液病学分会委员、浙江省医师协会肿瘤医师分会委员</w:t>
      </w:r>
      <w:r>
        <w:rPr>
          <w:rFonts w:hint="eastAsia"/>
          <w:highlight w:val="none"/>
          <w:lang w:eastAsia="zh-CN"/>
        </w:rPr>
        <w:t>、</w:t>
      </w:r>
      <w:r>
        <w:rPr>
          <w:rFonts w:hint="eastAsia"/>
          <w:highlight w:val="none"/>
        </w:rPr>
        <w:t>浙江省抗癌协会多原发和不明原发肿瘤专委会委员</w:t>
      </w:r>
      <w:r>
        <w:rPr>
          <w:rFonts w:hint="eastAsia"/>
          <w:highlight w:val="none"/>
          <w:lang w:eastAsia="zh-CN"/>
        </w:rPr>
        <w:t>、</w:t>
      </w:r>
      <w:r>
        <w:rPr>
          <w:rFonts w:hint="eastAsia"/>
          <w:highlight w:val="none"/>
        </w:rPr>
        <w:t>台州市医学会血液学分会副主任委员、台州肿瘤放化疗及生物治疗学组副主任委员。</w:t>
      </w:r>
    </w:p>
    <w:p w14:paraId="5AF4E208">
      <w:pPr>
        <w:rPr>
          <w:rFonts w:hint="eastAsia"/>
          <w:highlight w:val="none"/>
        </w:rPr>
      </w:pPr>
    </w:p>
    <w:p w14:paraId="55A5B4F8">
      <w:pPr>
        <w:rPr>
          <w:rFonts w:hint="eastAsia"/>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科室简介：</w:t>
      </w:r>
      <w:r>
        <w:rPr>
          <w:rFonts w:hint="eastAsia"/>
          <w:highlight w:val="none"/>
          <w:lang w:val="en-US" w:eastAsia="zh-CN"/>
        </w:rPr>
        <w:t>科室常规</w:t>
      </w:r>
      <w:r>
        <w:rPr>
          <w:rFonts w:hint="eastAsia"/>
          <w:highlight w:val="none"/>
        </w:rPr>
        <w:t>开展恶性淋巴瘤、急性白血病、再生障碍性贫血、多发性骨髓瘤、溶血性贫血、特发性血小板减少性紫癜、血栓性血小板减少性紫癜、DIC等的综合诊治，开展淋巴瘤、骨髓瘤、白血病等移植。开展了肺恶性肿瘤、肠胃恶性肿瘤、胰腺癌、宫颈癌、卵巢癌、鼻咽癌、肝癌、前列腺癌等规范化疗及生物靶向治疗</w:t>
      </w:r>
      <w:r>
        <w:rPr>
          <w:rFonts w:hint="eastAsia"/>
          <w:highlight w:val="none"/>
          <w:lang w:eastAsia="zh-CN"/>
        </w:rPr>
        <w:t>，</w:t>
      </w:r>
      <w:r>
        <w:rPr>
          <w:rFonts w:hint="eastAsia"/>
          <w:highlight w:val="none"/>
          <w:lang w:val="en-US" w:eastAsia="zh-CN"/>
        </w:rPr>
        <w:t>并开展多项临床研究。</w:t>
      </w:r>
    </w:p>
    <w:p w14:paraId="66AD731A">
      <w:pPr>
        <w:rPr>
          <w:rFonts w:hint="eastAsia"/>
          <w:highlight w:val="none"/>
          <w:lang w:val="en-US" w:eastAsia="zh-CN"/>
        </w:rPr>
      </w:pPr>
    </w:p>
    <w:p w14:paraId="6CC04ACF">
      <w:pPr>
        <w:rPr>
          <w:rFonts w:hint="eastAsia"/>
          <w:highlight w:val="none"/>
        </w:rPr>
      </w:pPr>
    </w:p>
    <w:p w14:paraId="1054F67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肿瘤介入科：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5F204E49">
      <w:pPr>
        <w:rPr>
          <w:rFonts w:hint="eastAsia"/>
          <w:highlight w:val="none"/>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eastAsia"/>
          <w:highlight w:val="none"/>
        </w:rPr>
        <w:t>夏贤武，</w:t>
      </w:r>
      <w:r>
        <w:rPr>
          <w:rFonts w:hint="eastAsia"/>
          <w:highlight w:val="none"/>
          <w:lang w:val="en-US" w:eastAsia="zh-CN"/>
        </w:rPr>
        <w:t>教授，</w:t>
      </w:r>
      <w:r>
        <w:rPr>
          <w:rFonts w:hint="eastAsia"/>
          <w:highlight w:val="none"/>
        </w:rPr>
        <w:t>主任医师</w:t>
      </w:r>
      <w:r>
        <w:rPr>
          <w:rFonts w:hint="eastAsia"/>
          <w:highlight w:val="none"/>
          <w:lang w:eastAsia="zh-CN"/>
        </w:rPr>
        <w:t>，</w:t>
      </w:r>
      <w:r>
        <w:rPr>
          <w:rFonts w:hint="eastAsia"/>
          <w:highlight w:val="none"/>
        </w:rPr>
        <w:t>浙江省“551”卫生高层次人才；担任浙江省抗癌协会肿瘤介入诊疗专业委员会副主任委员</w:t>
      </w:r>
      <w:r>
        <w:rPr>
          <w:rFonts w:hint="eastAsia"/>
          <w:highlight w:val="none"/>
          <w:lang w:eastAsia="zh-CN"/>
        </w:rPr>
        <w:t>、</w:t>
      </w:r>
      <w:r>
        <w:rPr>
          <w:rFonts w:hint="eastAsia"/>
          <w:highlight w:val="none"/>
        </w:rPr>
        <w:t>台州市抗癌协会肿瘤介入治疗学组组长</w:t>
      </w:r>
      <w:r>
        <w:rPr>
          <w:rFonts w:hint="eastAsia"/>
          <w:highlight w:val="none"/>
          <w:lang w:eastAsia="zh-CN"/>
        </w:rPr>
        <w:t>、</w:t>
      </w:r>
      <w:r>
        <w:rPr>
          <w:rFonts w:hint="eastAsia"/>
          <w:highlight w:val="none"/>
        </w:rPr>
        <w:t>台州市医学会介入医学分会副主任委员。</w:t>
      </w:r>
    </w:p>
    <w:p w14:paraId="77F090E7">
      <w:pPr>
        <w:rPr>
          <w:rFonts w:hint="eastAsia"/>
          <w:highlight w:val="none"/>
        </w:rPr>
      </w:pPr>
    </w:p>
    <w:p w14:paraId="7690A300">
      <w:pPr>
        <w:rPr>
          <w:rFonts w:hint="eastAsia"/>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科室简介：</w:t>
      </w:r>
      <w:r>
        <w:rPr>
          <w:rFonts w:hint="eastAsia"/>
          <w:highlight w:val="none"/>
        </w:rPr>
        <w:t>肿瘤介入科是涵盖肿瘤内科治疗、放疗、微创介入治疗的集医、教、研为一体的综合性学科；是台州市医学培育重点学科、台州市共建重点学科、椒江区医学重点学科；是全国肝癌介入规范化诊疗示范中心项目成员单位、浙江大学医学院附属第一医院门静脉高压TIPS联盟成员单位、浙江省肿瘤医院微创介入治疗理事单位。临床诊治包括：全身各系统肿瘤的早期筛查、诊断及预防；肿瘤微创介入治疗、放化疗、靶向治疗、免疫治疗、内分泌治疗、姑息治疗及临终关怀</w:t>
      </w:r>
      <w:r>
        <w:rPr>
          <w:rFonts w:hint="eastAsia"/>
          <w:highlight w:val="none"/>
          <w:lang w:val="en-US" w:eastAsia="zh-CN"/>
        </w:rPr>
        <w:t>等</w:t>
      </w:r>
      <w:r>
        <w:rPr>
          <w:rFonts w:hint="eastAsia"/>
          <w:highlight w:val="none"/>
        </w:rPr>
        <w:t>。</w:t>
      </w:r>
      <w:r>
        <w:rPr>
          <w:rFonts w:hint="eastAsia"/>
          <w:highlight w:val="none"/>
          <w:lang w:val="en-US" w:eastAsia="zh-CN"/>
        </w:rPr>
        <w:t>已开展多项临床研究。</w:t>
      </w:r>
    </w:p>
    <w:p w14:paraId="7FF2ED17">
      <w:pPr>
        <w:rPr>
          <w:rFonts w:hint="eastAsia"/>
          <w:highlight w:val="none"/>
          <w:lang w:val="en-US" w:eastAsia="zh-CN"/>
        </w:rPr>
      </w:pPr>
    </w:p>
    <w:p w14:paraId="1315820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206457"/>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麻醉科：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药物备案</w:t>
      </w:r>
    </w:p>
    <w:p w14:paraId="53D69B8C">
      <w:pPr>
        <w:rPr>
          <w:rFonts w:hint="eastAsia"/>
          <w:highlight w:val="none"/>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eastAsia"/>
          <w:highlight w:val="none"/>
          <w:lang w:val="en-US" w:eastAsia="zh-CN"/>
        </w:rPr>
        <w:t>屈献锋，</w:t>
      </w:r>
      <w:r>
        <w:rPr>
          <w:rFonts w:hint="eastAsia"/>
          <w:highlight w:val="none"/>
        </w:rPr>
        <w:t>主任医师</w:t>
      </w:r>
      <w:r>
        <w:rPr>
          <w:rFonts w:hint="eastAsia"/>
          <w:highlight w:val="none"/>
          <w:lang w:eastAsia="zh-CN"/>
        </w:rPr>
        <w:t>；</w:t>
      </w:r>
      <w:r>
        <w:rPr>
          <w:rFonts w:hint="eastAsia"/>
          <w:highlight w:val="none"/>
          <w:lang w:val="en-US" w:eastAsia="zh-CN"/>
        </w:rPr>
        <w:t>担任</w:t>
      </w:r>
      <w:r>
        <w:rPr>
          <w:rFonts w:hint="eastAsia"/>
          <w:highlight w:val="none"/>
        </w:rPr>
        <w:t>浙江省医学会麻醉学分会ERAS学组委员</w:t>
      </w:r>
      <w:r>
        <w:rPr>
          <w:rFonts w:hint="eastAsia"/>
          <w:highlight w:val="none"/>
          <w:lang w:eastAsia="zh-CN"/>
        </w:rPr>
        <w:t>、</w:t>
      </w:r>
      <w:r>
        <w:rPr>
          <w:rFonts w:hint="eastAsia"/>
          <w:highlight w:val="none"/>
        </w:rPr>
        <w:t>浙江省医学会麻醉学分会青年委员</w:t>
      </w:r>
      <w:r>
        <w:rPr>
          <w:rFonts w:hint="eastAsia"/>
          <w:highlight w:val="none"/>
          <w:lang w:eastAsia="zh-CN"/>
        </w:rPr>
        <w:t>、</w:t>
      </w:r>
      <w:r>
        <w:rPr>
          <w:rFonts w:hint="eastAsia"/>
          <w:highlight w:val="none"/>
        </w:rPr>
        <w:t>台州市医学会麻醉学分会委员</w:t>
      </w:r>
      <w:r>
        <w:rPr>
          <w:rFonts w:hint="eastAsia"/>
          <w:highlight w:val="none"/>
          <w:lang w:eastAsia="zh-CN"/>
        </w:rPr>
        <w:t>、</w:t>
      </w:r>
      <w:r>
        <w:rPr>
          <w:rFonts w:hint="eastAsia"/>
          <w:highlight w:val="none"/>
        </w:rPr>
        <w:t>台州市医学会医学鉴定专家</w:t>
      </w:r>
      <w:r>
        <w:rPr>
          <w:rFonts w:hint="eastAsia"/>
          <w:highlight w:val="none"/>
          <w:lang w:eastAsia="zh-CN"/>
        </w:rPr>
        <w:t>。</w:t>
      </w:r>
    </w:p>
    <w:p w14:paraId="401112B0">
      <w:pPr>
        <w:rPr>
          <w:rFonts w:hint="eastAsia"/>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科室简介：</w:t>
      </w:r>
      <w:r>
        <w:rPr>
          <w:rFonts w:hint="eastAsia"/>
          <w:highlight w:val="none"/>
          <w:lang w:val="en-US" w:eastAsia="zh-CN"/>
        </w:rPr>
        <w:t>麻醉科是以临床、教学、科研为一体的科室，承担15个手术科室的临床麻醉，手术室外麻醉，疼痛诊疗和全院的急救复苏任务，同时还承担台州学院医学院、温州医科大学临床教学及住院医师规范化培训任务。科室人才梯队完整、医疗技术领先、临床应急应变能力强、教学科研实力出色。近年来，承担省市级科研项目近十项，在国内外医学核心期刊上共发表论文近百篇。荣获中共中央、国务院、中央军委抗震救灾先进集体成员称号、浙江省麻醉质控先进科室称号，</w:t>
      </w:r>
      <w:r>
        <w:rPr>
          <w:rFonts w:hint="eastAsia" w:asciiTheme="minorAscii" w:hAnsiTheme="minorAscii"/>
          <w:sz w:val="21"/>
          <w:highlight w:val="none"/>
          <w:lang w:val="en-US" w:eastAsia="zh-CN"/>
        </w:rPr>
        <w:t>已开展临床研究多项。</w:t>
      </w:r>
    </w:p>
    <w:p w14:paraId="72B76666">
      <w:pPr>
        <w:rPr>
          <w:rFonts w:hint="eastAsia"/>
          <w:highlight w:val="none"/>
          <w:lang w:val="en-US" w:eastAsia="zh-CN"/>
        </w:rPr>
      </w:pPr>
    </w:p>
    <w:p w14:paraId="507C35EF">
      <w:pPr>
        <w:rPr>
          <w:rFonts w:hint="eastAsia"/>
          <w:highlight w:val="none"/>
          <w:lang w:val="en-US" w:eastAsia="zh-CN"/>
        </w:rPr>
      </w:pPr>
    </w:p>
    <w:p w14:paraId="59D04D7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消化内科：药物备案</w:t>
      </w:r>
    </w:p>
    <w:p w14:paraId="5DD9FADE">
      <w:pPr>
        <w:rPr>
          <w:rFonts w:hint="eastAsia"/>
          <w:highlight w:val="none"/>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eastAsia"/>
          <w:highlight w:val="none"/>
        </w:rPr>
        <w:t>王国祥，消化内科主任，主任医师，</w:t>
      </w:r>
      <w:r>
        <w:rPr>
          <w:rFonts w:hint="eastAsia"/>
          <w:highlight w:val="none"/>
          <w:lang w:val="en-US" w:eastAsia="zh-CN"/>
        </w:rPr>
        <w:t>副教授</w:t>
      </w:r>
      <w:r>
        <w:rPr>
          <w:rFonts w:hint="eastAsia"/>
          <w:highlight w:val="none"/>
          <w:lang w:eastAsia="zh-CN"/>
        </w:rPr>
        <w:t>；</w:t>
      </w:r>
      <w:r>
        <w:rPr>
          <w:rFonts w:hint="eastAsia"/>
          <w:highlight w:val="none"/>
        </w:rPr>
        <w:t>浙江省抗癌协会肿瘤内镜学组常委</w:t>
      </w:r>
      <w:r>
        <w:rPr>
          <w:rFonts w:hint="eastAsia"/>
          <w:highlight w:val="none"/>
          <w:lang w:eastAsia="zh-CN"/>
        </w:rPr>
        <w:t>、</w:t>
      </w:r>
      <w:r>
        <w:rPr>
          <w:rFonts w:hint="eastAsia"/>
          <w:highlight w:val="none"/>
        </w:rPr>
        <w:t>浙江省胃肠营养学组委员</w:t>
      </w:r>
      <w:r>
        <w:rPr>
          <w:rFonts w:hint="eastAsia"/>
          <w:highlight w:val="none"/>
          <w:lang w:eastAsia="zh-CN"/>
        </w:rPr>
        <w:t>、</w:t>
      </w:r>
      <w:r>
        <w:rPr>
          <w:rFonts w:hint="eastAsia"/>
          <w:highlight w:val="none"/>
        </w:rPr>
        <w:t>台州市消化学组常委。</w:t>
      </w:r>
    </w:p>
    <w:p w14:paraId="62163DD8">
      <w:pPr>
        <w:rPr>
          <w:rFonts w:hint="eastAsia"/>
          <w:highlight w:val="none"/>
        </w:rPr>
      </w:pPr>
    </w:p>
    <w:p w14:paraId="32E666C2">
      <w:pPr>
        <w:rPr>
          <w:rFonts w:hint="default" w:asciiTheme="minorAscii" w:hAnsiTheme="minorAscii" w:eastAsiaTheme="minorEastAsia"/>
          <w:sz w:val="21"/>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科室简介：</w:t>
      </w:r>
      <w:r>
        <w:rPr>
          <w:rFonts w:hint="eastAsia"/>
          <w:highlight w:val="none"/>
        </w:rPr>
        <w:t>消化内科是医院重点专科，</w:t>
      </w:r>
      <w:r>
        <w:rPr>
          <w:rFonts w:hint="eastAsia"/>
          <w:highlight w:val="none"/>
          <w:lang w:val="en-US" w:eastAsia="zh-CN"/>
        </w:rPr>
        <w:t>开放床为</w:t>
      </w:r>
      <w:r>
        <w:rPr>
          <w:rFonts w:hint="eastAsia"/>
          <w:highlight w:val="none"/>
        </w:rPr>
        <w:t>30张，配备胃镜、肠镜、十二指肠镜、放大内镜、超声内镜、胶囊内镜等。常规开展胃肠镜检查、内镜下止血、EMR、ESD、EUS、ERCP、内镜下空肠营养管及小肠减压管置入等。科室病种多样，病源丰富，能满足临床试验的需求。涉及病种主要包括:胃炎、幽⻔螺杆 菌感染、反流性⻝管炎、消化性溃疡、消化道出血、胆总管结石、肝硬化、急性胰腺炎、炎症性肠病、胃肠息肉、早期胃肠癌等各种消化系统疾病。年出院2700余人，年⻔诊量70000余人次，年</w:t>
      </w:r>
      <w:r>
        <w:rPr>
          <w:rFonts w:hint="eastAsia"/>
          <w:highlight w:val="none"/>
          <w:lang w:val="en-US" w:eastAsia="zh-CN"/>
        </w:rPr>
        <w:t>开展</w:t>
      </w:r>
      <w:r>
        <w:rPr>
          <w:rFonts w:hint="eastAsia"/>
          <w:highlight w:val="none"/>
        </w:rPr>
        <w:t>胃镜量15000余人次</w:t>
      </w:r>
      <w:r>
        <w:rPr>
          <w:rFonts w:hint="eastAsia"/>
          <w:highlight w:val="none"/>
          <w:lang w:eastAsia="zh-CN"/>
        </w:rPr>
        <w:t>、</w:t>
      </w:r>
      <w:r>
        <w:rPr>
          <w:rFonts w:hint="eastAsia"/>
          <w:highlight w:val="none"/>
        </w:rPr>
        <w:t>肠镜量14000余人次</w:t>
      </w:r>
      <w:r>
        <w:rPr>
          <w:rFonts w:hint="eastAsia"/>
          <w:highlight w:val="none"/>
          <w:lang w:eastAsia="zh-CN"/>
        </w:rPr>
        <w:t>，</w:t>
      </w:r>
      <w:r>
        <w:rPr>
          <w:rFonts w:hint="eastAsia" w:asciiTheme="minorAscii" w:hAnsiTheme="minorAscii"/>
          <w:sz w:val="21"/>
          <w:highlight w:val="none"/>
          <w:lang w:val="en-US" w:eastAsia="zh-CN"/>
        </w:rPr>
        <w:t>已参加注册研究1项。</w:t>
      </w:r>
    </w:p>
    <w:p w14:paraId="1A3066C1">
      <w:pPr>
        <w:rPr>
          <w:rFonts w:hint="eastAsia"/>
          <w:highlight w:val="none"/>
        </w:rPr>
      </w:pPr>
    </w:p>
    <w:p w14:paraId="2F6AC97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4985EE9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15"/>
          <w:sz w:val="28"/>
          <w:szCs w:val="28"/>
          <w:highlight w:val="none"/>
          <w:lang w:val="en-US" w:eastAsia="zh-CN"/>
        </w:rPr>
      </w:pPr>
      <w:r>
        <w:rPr>
          <w:rStyle w:val="8"/>
          <w:rFonts w:hint="eastAsia" w:ascii="Times New Roman" w:hAnsi="Times New Roman" w:eastAsia="宋体" w:cs="Times New Roman"/>
          <w:i w:val="0"/>
          <w:iCs w:val="0"/>
          <w:caps w:val="0"/>
          <w:color w:val="FF0000"/>
          <w:spacing w:val="15"/>
          <w:sz w:val="28"/>
          <w:szCs w:val="28"/>
          <w:highlight w:val="none"/>
          <w:lang w:val="en-US" w:eastAsia="zh-CN"/>
        </w:rPr>
        <w:t>神经内科：</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药物+器械备案</w:t>
      </w:r>
    </w:p>
    <w:p w14:paraId="015EBC5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i w:val="0"/>
          <w:iCs w:val="0"/>
          <w:caps w:val="0"/>
          <w:color w:val="3E3E3E"/>
          <w:spacing w:val="0"/>
          <w:sz w:val="21"/>
          <w:szCs w:val="21"/>
          <w:highlight w:val="none"/>
        </w:rPr>
        <w:t>徐浩，主任医师</w:t>
      </w:r>
      <w:r>
        <w:rPr>
          <w:rFonts w:hint="eastAsia" w:ascii="Times New Roman" w:hAnsi="Times New Roman" w:eastAsia="宋体" w:cs="Times New Roman"/>
          <w:i w:val="0"/>
          <w:iCs w:val="0"/>
          <w:caps w:val="0"/>
          <w:color w:val="3E3E3E"/>
          <w:spacing w:val="0"/>
          <w:sz w:val="21"/>
          <w:szCs w:val="21"/>
          <w:highlight w:val="none"/>
          <w:lang w:eastAsia="zh-CN"/>
        </w:rPr>
        <w:t>；</w:t>
      </w:r>
      <w:r>
        <w:rPr>
          <w:rFonts w:hint="eastAsia" w:ascii="Times New Roman" w:hAnsi="Times New Roman" w:eastAsia="宋体" w:cs="Times New Roman"/>
          <w:i w:val="0"/>
          <w:iCs w:val="0"/>
          <w:caps w:val="0"/>
          <w:color w:val="3E3E3E"/>
          <w:spacing w:val="0"/>
          <w:sz w:val="21"/>
          <w:szCs w:val="21"/>
          <w:highlight w:val="none"/>
          <w:lang w:val="en-US" w:eastAsia="zh-CN"/>
        </w:rPr>
        <w:t>担任浙江省医师协会神经内科分会委员、台州医学会神经病学组委员、神经内科药物临床试验基地主任、台州学院临床学院神经病学教研室主任。</w:t>
      </w:r>
    </w:p>
    <w:p w14:paraId="371AFC6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lang w:val="en-US" w:eastAsia="zh-CN"/>
        </w:rPr>
      </w:pPr>
      <w:r>
        <w:rPr>
          <w:rFonts w:hint="eastAsia" w:ascii="Times New Roman" w:hAnsi="Times New Roman" w:eastAsia="宋体" w:cs="Times New Roman"/>
          <w:i w:val="0"/>
          <w:iCs w:val="0"/>
          <w:caps w:val="0"/>
          <w:color w:val="3E3E3E"/>
          <w:spacing w:val="0"/>
          <w:sz w:val="21"/>
          <w:szCs w:val="21"/>
          <w:highlight w:val="none"/>
          <w:lang w:val="en-US" w:eastAsia="zh-CN"/>
        </w:rPr>
        <w:t>徐小辉，主任医师，</w:t>
      </w:r>
      <w:r>
        <w:rPr>
          <w:rFonts w:hint="default" w:ascii="Times New Roman" w:hAnsi="Times New Roman" w:eastAsia="宋体" w:cs="Times New Roman"/>
          <w:i w:val="0"/>
          <w:iCs w:val="0"/>
          <w:caps w:val="0"/>
          <w:color w:val="3E3E3E"/>
          <w:spacing w:val="0"/>
          <w:sz w:val="21"/>
          <w:szCs w:val="21"/>
          <w:highlight w:val="none"/>
        </w:rPr>
        <w:t>获得国家级GCP证书</w:t>
      </w:r>
      <w:r>
        <w:rPr>
          <w:rFonts w:hint="eastAsia" w:ascii="Times New Roman" w:hAnsi="Times New Roman" w:eastAsia="宋体" w:cs="Times New Roman"/>
          <w:i w:val="0"/>
          <w:iCs w:val="0"/>
          <w:caps w:val="0"/>
          <w:color w:val="3E3E3E"/>
          <w:spacing w:val="0"/>
          <w:sz w:val="21"/>
          <w:szCs w:val="21"/>
          <w:highlight w:val="none"/>
          <w:lang w:eastAsia="zh-CN"/>
        </w:rPr>
        <w:t>；</w:t>
      </w:r>
      <w:r>
        <w:rPr>
          <w:rFonts w:hint="eastAsia" w:ascii="Times New Roman" w:hAnsi="Times New Roman" w:eastAsia="宋体" w:cs="Times New Roman"/>
          <w:i w:val="0"/>
          <w:iCs w:val="0"/>
          <w:caps w:val="0"/>
          <w:color w:val="3E3E3E"/>
          <w:spacing w:val="0"/>
          <w:sz w:val="21"/>
          <w:szCs w:val="21"/>
          <w:highlight w:val="none"/>
          <w:lang w:val="en-US" w:eastAsia="zh-CN"/>
        </w:rPr>
        <w:t>台州市重点学科后备学科带头人，浙江医师协会神经介入专委会常务委员、浙江省神经介入学组委员。</w:t>
      </w:r>
    </w:p>
    <w:p w14:paraId="6BCBE36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lang w:val="en-US" w:eastAsia="zh-CN"/>
        </w:rPr>
      </w:pPr>
      <w:r>
        <w:rPr>
          <w:rFonts w:hint="eastAsia" w:ascii="Times New Roman" w:hAnsi="Times New Roman" w:eastAsia="宋体" w:cs="Times New Roman"/>
          <w:i w:val="0"/>
          <w:iCs w:val="0"/>
          <w:caps w:val="0"/>
          <w:color w:val="3E3E3E"/>
          <w:spacing w:val="0"/>
          <w:sz w:val="21"/>
          <w:szCs w:val="21"/>
          <w:highlight w:val="none"/>
          <w:lang w:val="en-US" w:eastAsia="zh-CN"/>
        </w:rPr>
        <w:t>周婷，主任医师，</w:t>
      </w:r>
      <w:r>
        <w:rPr>
          <w:rFonts w:hint="default" w:ascii="Times New Roman" w:hAnsi="Times New Roman" w:eastAsia="宋体" w:cs="Times New Roman"/>
          <w:i w:val="0"/>
          <w:iCs w:val="0"/>
          <w:caps w:val="0"/>
          <w:color w:val="3E3E3E"/>
          <w:spacing w:val="0"/>
          <w:sz w:val="21"/>
          <w:szCs w:val="21"/>
          <w:highlight w:val="none"/>
        </w:rPr>
        <w:t>获得国家级GCP证书</w:t>
      </w:r>
      <w:r>
        <w:rPr>
          <w:rFonts w:hint="eastAsia" w:ascii="Times New Roman" w:hAnsi="Times New Roman" w:eastAsia="宋体" w:cs="Times New Roman"/>
          <w:i w:val="0"/>
          <w:iCs w:val="0"/>
          <w:caps w:val="0"/>
          <w:color w:val="3E3E3E"/>
          <w:spacing w:val="0"/>
          <w:sz w:val="21"/>
          <w:szCs w:val="21"/>
          <w:highlight w:val="none"/>
          <w:lang w:eastAsia="zh-CN"/>
        </w:rPr>
        <w:t>；</w:t>
      </w:r>
      <w:r>
        <w:rPr>
          <w:rFonts w:hint="eastAsia" w:ascii="Times New Roman" w:hAnsi="Times New Roman" w:eastAsia="宋体" w:cs="Times New Roman"/>
          <w:i w:val="0"/>
          <w:iCs w:val="0"/>
          <w:caps w:val="0"/>
          <w:color w:val="3E3E3E"/>
          <w:spacing w:val="0"/>
          <w:sz w:val="21"/>
          <w:szCs w:val="21"/>
          <w:highlight w:val="none"/>
          <w:lang w:val="en-US" w:eastAsia="zh-CN"/>
        </w:rPr>
        <w:t>担任浙江省医学会神经病学青年委员、浙江省医学会神经病学帕金森学组委员。</w:t>
      </w:r>
    </w:p>
    <w:p w14:paraId="12307E1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lang w:val="en-US" w:eastAsia="zh-CN"/>
        </w:rPr>
      </w:pPr>
    </w:p>
    <w:p w14:paraId="78854AC3">
      <w:pPr>
        <w:rPr>
          <w:rFonts w:hint="eastAsia" w:asciiTheme="minorAscii" w:hAnsiTheme="minorAscii"/>
          <w:sz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default" w:ascii="Times New Roman" w:hAnsi="Times New Roman" w:eastAsia="宋体" w:cs="Times New Roman"/>
          <w:i w:val="0"/>
          <w:iCs w:val="0"/>
          <w:caps w:val="0"/>
          <w:color w:val="3E3E3E"/>
          <w:spacing w:val="0"/>
          <w:sz w:val="21"/>
          <w:szCs w:val="21"/>
          <w:highlight w:val="none"/>
        </w:rPr>
        <w:t>神经内科是台州市重点学科，浙江省首批县级龙头学科，中国卒中中心联盟单位，国家心脑血管联盟单位；以脑血管病、眩晕规范化诊治、帕金森、痴呆等神经变性疾病的早期筛检及合理诊治为学科建设三大方向。涉及病种主要包括：急性脑梗死、痴呆、帕金森病、周围神经病、后循环缺血、短暂性脑缺血发作、癫痫、睡眠障碍、卒中后康复等。科室开放床位</w:t>
      </w:r>
      <w:r>
        <w:rPr>
          <w:rFonts w:hint="eastAsia" w:ascii="Times New Roman" w:hAnsi="Times New Roman" w:eastAsia="宋体" w:cs="Times New Roman"/>
          <w:i w:val="0"/>
          <w:iCs w:val="0"/>
          <w:caps w:val="0"/>
          <w:color w:val="3E3E3E"/>
          <w:spacing w:val="0"/>
          <w:sz w:val="21"/>
          <w:szCs w:val="21"/>
          <w:highlight w:val="none"/>
          <w:lang w:val="en-US" w:eastAsia="zh-CN"/>
        </w:rPr>
        <w:t>96</w:t>
      </w:r>
      <w:r>
        <w:rPr>
          <w:rFonts w:hint="default" w:ascii="Times New Roman" w:hAnsi="Times New Roman" w:eastAsia="宋体" w:cs="Times New Roman"/>
          <w:i w:val="0"/>
          <w:iCs w:val="0"/>
          <w:caps w:val="0"/>
          <w:color w:val="3E3E3E"/>
          <w:spacing w:val="0"/>
          <w:sz w:val="21"/>
          <w:szCs w:val="21"/>
          <w:highlight w:val="none"/>
        </w:rPr>
        <w:t>张，年</w:t>
      </w:r>
      <w:r>
        <w:rPr>
          <w:rFonts w:hint="eastAsia" w:ascii="Times New Roman" w:hAnsi="Times New Roman" w:eastAsia="宋体" w:cs="Times New Roman"/>
          <w:i w:val="0"/>
          <w:iCs w:val="0"/>
          <w:caps w:val="0"/>
          <w:color w:val="3E3E3E"/>
          <w:spacing w:val="0"/>
          <w:sz w:val="21"/>
          <w:szCs w:val="21"/>
          <w:highlight w:val="none"/>
          <w:lang w:val="en-US" w:eastAsia="zh-CN"/>
        </w:rPr>
        <w:t>出院</w:t>
      </w:r>
      <w:r>
        <w:rPr>
          <w:rFonts w:hint="default" w:ascii="Times New Roman" w:hAnsi="Times New Roman" w:eastAsia="宋体" w:cs="Times New Roman"/>
          <w:i w:val="0"/>
          <w:iCs w:val="0"/>
          <w:caps w:val="0"/>
          <w:color w:val="3E3E3E"/>
          <w:spacing w:val="0"/>
          <w:sz w:val="21"/>
          <w:szCs w:val="21"/>
          <w:highlight w:val="none"/>
        </w:rPr>
        <w:t>4000余人次，年门诊量70000余人次。其中脑梗死年住院1200余人次，癫痫年住院150余人次，</w:t>
      </w:r>
      <w:r>
        <w:rPr>
          <w:rFonts w:hint="eastAsia" w:asciiTheme="minorAscii" w:hAnsiTheme="minorAscii"/>
          <w:sz w:val="21"/>
          <w:highlight w:val="none"/>
          <w:lang w:val="en-US" w:eastAsia="zh-CN"/>
        </w:rPr>
        <w:t>已参加注册研究6项。</w:t>
      </w:r>
    </w:p>
    <w:p w14:paraId="41084F2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17BCCB9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7C63831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206457"/>
          <w:spacing w:val="0"/>
          <w:sz w:val="28"/>
          <w:szCs w:val="28"/>
          <w:highlight w:val="none"/>
          <w:lang w:val="en-US" w:eastAsia="zh-CN"/>
        </w:rPr>
      </w:pPr>
      <w:r>
        <w:rPr>
          <w:rStyle w:val="8"/>
          <w:rFonts w:hint="default" w:ascii="Times New Roman" w:hAnsi="Times New Roman" w:eastAsia="宋体" w:cs="Times New Roman"/>
          <w:i w:val="0"/>
          <w:iCs w:val="0"/>
          <w:caps w:val="0"/>
          <w:color w:val="FF0000"/>
          <w:spacing w:val="0"/>
          <w:sz w:val="28"/>
          <w:szCs w:val="28"/>
          <w:highlight w:val="none"/>
          <w:lang w:val="en-US" w:eastAsia="zh-CN"/>
        </w:rPr>
        <w:t>皮肤科</w:t>
      </w:r>
      <w:r>
        <w:rPr>
          <w:rStyle w:val="8"/>
          <w:rFonts w:hint="eastAsia" w:ascii="Times New Roman" w:hAnsi="Times New Roman" w:eastAsia="宋体" w:cs="Times New Roman"/>
          <w:i w:val="0"/>
          <w:iCs w:val="0"/>
          <w:caps w:val="0"/>
          <w:color w:val="FF0000"/>
          <w:spacing w:val="0"/>
          <w:sz w:val="28"/>
          <w:szCs w:val="28"/>
          <w:highlight w:val="none"/>
          <w:lang w:val="en-US" w:eastAsia="zh-CN"/>
        </w:rPr>
        <w:t>：</w:t>
      </w: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药物+器械备案</w:t>
      </w:r>
    </w:p>
    <w:p w14:paraId="2F5855E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ascii="Times New Roman" w:hAnsi="Times New Roman" w:eastAsia="宋体"/>
          <w:color w:val="3E3E3E"/>
          <w:sz w:val="21"/>
          <w:szCs w:val="21"/>
          <w:highlight w:val="none"/>
        </w:rPr>
        <w:t>胡雅玉，主任医师，医学硕士</w:t>
      </w:r>
      <w:r>
        <w:rPr>
          <w:rFonts w:hint="eastAsia" w:ascii="Times New Roman" w:hAnsi="Times New Roman" w:eastAsia="宋体"/>
          <w:color w:val="3E3E3E"/>
          <w:sz w:val="21"/>
          <w:szCs w:val="21"/>
          <w:highlight w:val="none"/>
        </w:rPr>
        <w:t>；担任</w:t>
      </w:r>
      <w:r>
        <w:rPr>
          <w:rFonts w:ascii="Times New Roman" w:hAnsi="Times New Roman" w:eastAsia="宋体"/>
          <w:color w:val="3E3E3E"/>
          <w:sz w:val="21"/>
          <w:szCs w:val="21"/>
          <w:highlight w:val="none"/>
        </w:rPr>
        <w:t>台州市医学会皮肤性病学组副组长</w:t>
      </w:r>
      <w:r>
        <w:rPr>
          <w:rFonts w:hint="eastAsia" w:ascii="Times New Roman" w:hAnsi="Times New Roman" w:eastAsia="宋体"/>
          <w:color w:val="3E3E3E"/>
          <w:sz w:val="21"/>
          <w:szCs w:val="21"/>
          <w:highlight w:val="none"/>
        </w:rPr>
        <w:t>；</w:t>
      </w:r>
      <w:r>
        <w:rPr>
          <w:rFonts w:ascii="Times New Roman" w:hAnsi="Times New Roman" w:eastAsia="宋体"/>
          <w:color w:val="3E3E3E"/>
          <w:sz w:val="21"/>
          <w:szCs w:val="21"/>
          <w:highlight w:val="none"/>
        </w:rPr>
        <w:t>浙江省医师协会皮肤科医师分会委员</w:t>
      </w:r>
      <w:r>
        <w:rPr>
          <w:rFonts w:hint="eastAsia" w:ascii="Times New Roman" w:hAnsi="Times New Roman" w:eastAsia="宋体"/>
          <w:color w:val="3E3E3E"/>
          <w:sz w:val="21"/>
          <w:szCs w:val="21"/>
          <w:highlight w:val="none"/>
        </w:rPr>
        <w:t>；</w:t>
      </w:r>
      <w:r>
        <w:rPr>
          <w:rFonts w:ascii="Times New Roman" w:hAnsi="Times New Roman" w:eastAsia="宋体"/>
          <w:color w:val="3E3E3E"/>
          <w:sz w:val="21"/>
          <w:szCs w:val="21"/>
          <w:highlight w:val="none"/>
        </w:rPr>
        <w:t>浙江省整形美容行业协会激光美容分会、</w:t>
      </w:r>
      <w:r>
        <w:rPr>
          <w:rFonts w:ascii="Times New Roman" w:hAnsi="Times New Roman" w:eastAsia="宋体"/>
          <w:sz w:val="21"/>
          <w:szCs w:val="21"/>
          <w:highlight w:val="none"/>
        </w:rPr>
        <w:t>皮肤美容分会</w:t>
      </w:r>
      <w:r>
        <w:rPr>
          <w:rFonts w:ascii="Times New Roman" w:hAnsi="Times New Roman" w:eastAsia="宋体"/>
          <w:color w:val="3E3E3E"/>
          <w:sz w:val="21"/>
          <w:szCs w:val="21"/>
          <w:highlight w:val="none"/>
        </w:rPr>
        <w:t>常务委员</w:t>
      </w:r>
      <w:r>
        <w:rPr>
          <w:rFonts w:hint="eastAsia" w:ascii="Times New Roman" w:hAnsi="Times New Roman" w:eastAsia="宋体"/>
          <w:color w:val="3E3E3E"/>
          <w:sz w:val="21"/>
          <w:szCs w:val="21"/>
          <w:highlight w:val="none"/>
        </w:rPr>
        <w:t>；</w:t>
      </w:r>
      <w:r>
        <w:rPr>
          <w:rFonts w:ascii="Times New Roman" w:hAnsi="Times New Roman" w:eastAsia="宋体"/>
          <w:color w:val="3E3E3E"/>
          <w:sz w:val="21"/>
          <w:szCs w:val="21"/>
          <w:highlight w:val="none"/>
        </w:rPr>
        <w:t>获2019年浙江省优秀医师称号。</w:t>
      </w:r>
    </w:p>
    <w:p w14:paraId="58BBB7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3E3E3E"/>
          <w:spacing w:val="0"/>
          <w:sz w:val="21"/>
          <w:szCs w:val="21"/>
          <w:highlight w:val="none"/>
        </w:rPr>
      </w:pPr>
    </w:p>
    <w:p w14:paraId="221ED84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科室简介：</w:t>
      </w:r>
      <w:r>
        <w:rPr>
          <w:rFonts w:hint="default" w:ascii="Times New Roman" w:hAnsi="Times New Roman" w:eastAsia="宋体" w:cs="Times New Roman"/>
          <w:i w:val="0"/>
          <w:iCs w:val="0"/>
          <w:caps w:val="0"/>
          <w:color w:val="3E3E3E"/>
          <w:spacing w:val="0"/>
          <w:sz w:val="21"/>
          <w:szCs w:val="21"/>
          <w:highlight w:val="none"/>
        </w:rPr>
        <w:t>专业病源病种充足，能满足临床试验的需求。涉及病种主要包括：特应性皮炎、荨麻疹、银屑病、痤疮、瘢痕、白癜风、脱发、带状疱疹、生殖器疱疹、真菌感染等；开展的治疗项目包括：二氧化碳激光、光动力治疗、舒敏治疗、激光生发、白癜风表皮移植、激光美容、光子嫩肤、肉毒素除皱、玻尿酸填充、水光治疗等；年门诊量</w:t>
      </w:r>
      <w:r>
        <w:rPr>
          <w:rFonts w:hint="eastAsia" w:ascii="Times New Roman" w:hAnsi="Times New Roman" w:eastAsia="宋体" w:cs="Times New Roman"/>
          <w:i w:val="0"/>
          <w:iCs w:val="0"/>
          <w:caps w:val="0"/>
          <w:color w:val="3E3E3E"/>
          <w:spacing w:val="0"/>
          <w:sz w:val="21"/>
          <w:szCs w:val="21"/>
          <w:highlight w:val="none"/>
          <w:lang w:val="en-US" w:eastAsia="zh-CN"/>
        </w:rPr>
        <w:t>95000余</w:t>
      </w:r>
      <w:r>
        <w:rPr>
          <w:rFonts w:hint="default" w:ascii="Times New Roman" w:hAnsi="Times New Roman" w:eastAsia="宋体" w:cs="Times New Roman"/>
          <w:i w:val="0"/>
          <w:iCs w:val="0"/>
          <w:caps w:val="0"/>
          <w:color w:val="3E3E3E"/>
          <w:spacing w:val="0"/>
          <w:sz w:val="21"/>
          <w:szCs w:val="21"/>
          <w:highlight w:val="none"/>
        </w:rPr>
        <w:t>人次。</w:t>
      </w:r>
      <w:r>
        <w:rPr>
          <w:rFonts w:hint="eastAsia" w:ascii="Times New Roman" w:hAnsi="Times New Roman" w:eastAsia="宋体" w:cs="Times New Roman"/>
          <w:i w:val="0"/>
          <w:iCs w:val="0"/>
          <w:caps w:val="0"/>
          <w:color w:val="3E3E3E"/>
          <w:spacing w:val="0"/>
          <w:sz w:val="21"/>
          <w:szCs w:val="21"/>
          <w:highlight w:val="none"/>
          <w:lang w:val="en-US" w:eastAsia="zh-CN"/>
        </w:rPr>
        <w:t>已开展4项注册研究。</w:t>
      </w:r>
    </w:p>
    <w:p w14:paraId="4A4D3F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i w:val="0"/>
          <w:iCs w:val="0"/>
          <w:caps w:val="0"/>
          <w:color w:val="3E3E3E"/>
          <w:spacing w:val="0"/>
          <w:sz w:val="21"/>
          <w:szCs w:val="21"/>
          <w:highlight w:val="none"/>
          <w:lang w:val="en-US" w:eastAsia="zh-CN"/>
        </w:rPr>
      </w:pPr>
    </w:p>
    <w:p w14:paraId="05E482CC">
      <w:pPr>
        <w:rPr>
          <w:rFonts w:hint="eastAsia"/>
          <w:highlight w:val="none"/>
        </w:rPr>
      </w:pPr>
    </w:p>
    <w:p w14:paraId="3B2AF3F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妇科：药物+器械备案</w:t>
      </w:r>
    </w:p>
    <w:p w14:paraId="0681AB29">
      <w:pPr>
        <w:rPr>
          <w:rFonts w:hint="eastAsia"/>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eastAsia"/>
          <w:highlight w:val="none"/>
          <w:lang w:val="en-US" w:eastAsia="zh-CN"/>
        </w:rPr>
        <w:t>蔡仙丽，主任医师</w:t>
      </w:r>
      <w:r>
        <w:rPr>
          <w:rFonts w:hint="eastAsia"/>
          <w:highlight w:val="none"/>
          <w:lang w:eastAsia="zh-CN"/>
        </w:rPr>
        <w:t>；</w:t>
      </w:r>
      <w:r>
        <w:rPr>
          <w:rFonts w:hint="eastAsia"/>
          <w:highlight w:val="none"/>
          <w:lang w:val="en-US" w:eastAsia="zh-CN"/>
        </w:rPr>
        <w:t>担任台州市医学会计划生育与生殖学组副主委、浙江省医学会台州分会妇产科学组副组长、浙江省医师协会妇产科分会会员、浙江省抗癌协会妇瘤学组委员。</w:t>
      </w:r>
    </w:p>
    <w:p w14:paraId="1ACB89C1">
      <w:pPr>
        <w:rPr>
          <w:rFonts w:hint="default"/>
          <w:highlight w:val="none"/>
          <w:lang w:val="en-US" w:eastAsia="zh-CN"/>
        </w:rPr>
      </w:pPr>
    </w:p>
    <w:p w14:paraId="013A96A3">
      <w:pPr>
        <w:rPr>
          <w:rFonts w:hint="default"/>
          <w:highlight w:val="none"/>
          <w:lang w:val="en-US" w:eastAsia="zh-CN"/>
        </w:rPr>
      </w:pPr>
      <w:r>
        <w:rPr>
          <w:rStyle w:val="8"/>
          <w:rFonts w:hint="eastAsia"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eastAsia"/>
          <w:highlight w:val="none"/>
          <w:lang w:val="en-US" w:eastAsia="zh-CN"/>
        </w:rPr>
        <w:t>妇科是椒江区重点学科，病源病种充足，涉及病种主要包括：妇科恶性肿瘤、生殖不孕不育、宫颈疾病、子宫肌瘤等。科室在腔镜、生殖内分泌等方面具有显著的特色和优势，开放床位37张，年出院3000余人次，年手术2500余台次，年门诊量120000余人次，已承接2项注册研究。</w:t>
      </w:r>
    </w:p>
    <w:p w14:paraId="157D48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206457"/>
          <w:spacing w:val="0"/>
          <w:kern w:val="2"/>
          <w:sz w:val="28"/>
          <w:szCs w:val="28"/>
          <w:highlight w:val="none"/>
          <w:lang w:val="en-US" w:eastAsia="zh-CN" w:bidi="ar-SA"/>
        </w:rPr>
      </w:pPr>
    </w:p>
    <w:p w14:paraId="5F2CFB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206457"/>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普通外科：药物+器械备案</w:t>
      </w:r>
    </w:p>
    <w:p w14:paraId="10B7A63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sz w:val="21"/>
          <w:szCs w:val="21"/>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eastAsia"/>
          <w:sz w:val="21"/>
          <w:szCs w:val="21"/>
          <w:highlight w:val="none"/>
          <w:lang w:val="en-US" w:eastAsia="zh-CN"/>
        </w:rPr>
        <w:t>梁思渊，主任医师；担任台州市医学会血管外科分会副主任委员、浙江省医学会血管外科分会委员、浙江医师协会外科分会血管外科专业委员会委员。</w:t>
      </w:r>
    </w:p>
    <w:p w14:paraId="75D725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sz w:val="21"/>
          <w:szCs w:val="21"/>
          <w:highlight w:val="none"/>
          <w:lang w:val="en-US" w:eastAsia="zh-CN"/>
        </w:rPr>
      </w:pPr>
      <w:r>
        <w:rPr>
          <w:rFonts w:hint="eastAsia"/>
          <w:sz w:val="21"/>
          <w:szCs w:val="21"/>
          <w:highlight w:val="none"/>
          <w:lang w:val="en-US" w:eastAsia="zh-CN"/>
        </w:rPr>
        <w:t>聂寒秋，主任医师；台州市医学会肝胆分会副主任委员、台州市医学会创伤分会委员、台州市医学会外科学分会青委副主任委员。</w:t>
      </w:r>
    </w:p>
    <w:p w14:paraId="4D42FB7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sz w:val="21"/>
          <w:szCs w:val="21"/>
          <w:highlight w:val="none"/>
          <w:lang w:val="en-US" w:eastAsia="zh-CN"/>
        </w:rPr>
      </w:pPr>
    </w:p>
    <w:p w14:paraId="643243D7">
      <w:pPr>
        <w:rPr>
          <w:rFonts w:hint="eastAsia"/>
          <w:highlight w:val="none"/>
          <w:lang w:val="en-US" w:eastAsia="zh-CN"/>
        </w:rPr>
      </w:pPr>
      <w:r>
        <w:rPr>
          <w:rStyle w:val="8"/>
          <w:rFonts w:hint="eastAsia"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eastAsia"/>
          <w:highlight w:val="none"/>
          <w:lang w:val="en-US" w:eastAsia="zh-CN"/>
        </w:rPr>
        <w:t>普通外科专业下设肝胆外科、血管外科，是浙江省肿瘤微创外科联盟核心单位，浙闽静脉联盟静脉疾病规范化诊治培训中心；病源病种充足，能满足临床试验的需求。涉及病种主要包括：主动脉疾病，下肢动脉硬化闭塞症，急性下肢深静脉血栓，胆囊疾病，肝脏疾病，胰腺疾病等。开放床位36张，年出院2000余人次，年手术1100余台次，年门诊量11000余人次，</w:t>
      </w:r>
      <w:r>
        <w:rPr>
          <w:rFonts w:hint="eastAsia" w:asciiTheme="minorAscii" w:hAnsiTheme="minorAscii"/>
          <w:sz w:val="21"/>
          <w:highlight w:val="none"/>
          <w:lang w:val="en-US" w:eastAsia="zh-CN"/>
        </w:rPr>
        <w:t>已开展临床研究多项。</w:t>
      </w:r>
    </w:p>
    <w:p w14:paraId="3C0BC481">
      <w:pPr>
        <w:rPr>
          <w:rFonts w:hint="eastAsia"/>
          <w:highlight w:val="none"/>
          <w:lang w:val="en-US" w:eastAsia="zh-CN"/>
        </w:rPr>
      </w:pPr>
    </w:p>
    <w:p w14:paraId="4A54FD86">
      <w:pPr>
        <w:rPr>
          <w:rFonts w:hint="eastAsia"/>
          <w:highlight w:val="none"/>
          <w:lang w:val="en-US" w:eastAsia="zh-CN"/>
        </w:rPr>
      </w:pPr>
    </w:p>
    <w:p w14:paraId="4AFAF43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泌尿外科：药物+器械备案</w:t>
      </w:r>
    </w:p>
    <w:p w14:paraId="2DDDFC7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刘晟，主任医师</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担任浙江省医学会男科学分会委员、</w:t>
      </w:r>
      <w:r>
        <w:rPr>
          <w:rFonts w:hint="default" w:asciiTheme="minorAscii" w:hAnsiTheme="minorAscii"/>
          <w:sz w:val="21"/>
          <w:highlight w:val="none"/>
          <w:lang w:val="en-US" w:eastAsia="zh-CN"/>
        </w:rPr>
        <w:t>浙江省抗癌协会泌尿男生殖肿瘤专业委员会委员、浙江省医师协会泌尿外科医师分会委员、</w:t>
      </w:r>
      <w:r>
        <w:rPr>
          <w:rFonts w:hint="default" w:ascii="Times New Roman" w:hAnsi="Times New Roman" w:eastAsia="宋体" w:cs="Times New Roman"/>
          <w:sz w:val="21"/>
          <w:szCs w:val="21"/>
          <w:highlight w:val="none"/>
          <w:lang w:val="en-US" w:eastAsia="zh-CN"/>
        </w:rPr>
        <w:t>台州市医学会男科分会副主任委员、台州市医学会泌尿外科分会常务委员。</w:t>
      </w:r>
    </w:p>
    <w:p w14:paraId="2E9F240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p>
    <w:p w14:paraId="102726BD">
      <w:pPr>
        <w:rPr>
          <w:rFonts w:hint="eastAsia"/>
          <w:highlight w:val="none"/>
          <w:lang w:val="en-US" w:eastAsia="zh-CN"/>
        </w:rPr>
      </w:pPr>
      <w:r>
        <w:rPr>
          <w:rStyle w:val="8"/>
          <w:rFonts w:hint="default"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default" w:ascii="Times New Roman" w:hAnsi="Times New Roman" w:eastAsia="宋体" w:cs="Times New Roman"/>
          <w:sz w:val="21"/>
          <w:szCs w:val="21"/>
          <w:highlight w:val="none"/>
          <w:lang w:val="en-US" w:eastAsia="zh-CN"/>
        </w:rPr>
        <w:t>泌尿外科是椒江区和院重点学科，科室设有泌尿外科、男科专家门诊、体外震波碎石、排石中心、尿流动力学中心、膀胱镜检查室，拥有钬激光</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等离子电切镜</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输尿管软、硬镜</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电子膀胱软镜</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超声引导体外震波碎石机</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排石床</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红外光谱结石分析仪等先进仪器。</w:t>
      </w:r>
      <w:r>
        <w:rPr>
          <w:rFonts w:hint="default" w:asciiTheme="minorAscii" w:hAnsiTheme="minorAscii"/>
          <w:sz w:val="21"/>
          <w:highlight w:val="none"/>
          <w:lang w:val="en-US" w:eastAsia="zh-CN"/>
        </w:rPr>
        <w:t>常规开展泌尿系肿瘤微创手术，前列腺激光剜除术，输尿管硬镜、软镜下钬激光碎石术，经皮肾镜碎石取石术，隐匿阴茎、尿道下裂矫形手术等。涉及病种主要包括：泌尿系肿瘤、泌尿系结石、前列腺增生、小儿泌尿外科疾病和男科疾患等。科室开放床位45张，年出院3000余人次，年手术2000余台次，年门诊量50000余人次，已参与开展临床研究多项。</w:t>
      </w:r>
    </w:p>
    <w:p w14:paraId="3A487AE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神经外科：器械备案</w:t>
      </w:r>
    </w:p>
    <w:p w14:paraId="2442DF6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eastAsia"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金杭煌，主任医师</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担任浙江省医师协会神经外科分会委员、浙江省医师协会神经介入专委会青委、台州市医学会神经外科分会委员。</w:t>
      </w:r>
    </w:p>
    <w:p w14:paraId="7EDB50E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p>
    <w:p w14:paraId="28C4FE0A">
      <w:pPr>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default" w:ascii="Times New Roman" w:hAnsi="Times New Roman" w:eastAsia="宋体" w:cs="Times New Roman"/>
          <w:sz w:val="21"/>
          <w:szCs w:val="21"/>
          <w:highlight w:val="none"/>
          <w:lang w:val="en-US" w:eastAsia="zh-CN"/>
        </w:rPr>
        <w:t>神经外科是台州市医学重点学科、台州学院脑科研究所、温州医科大学硕士研究生培养点；涉及病种主要包括：颅脑损伤、脑肿瘤、脑血管病、颅神经疾患等。开放床位</w:t>
      </w:r>
      <w:r>
        <w:rPr>
          <w:rFonts w:hint="eastAsia" w:ascii="Times New Roman" w:hAnsi="Times New Roman" w:eastAsia="宋体" w:cs="Times New Roman"/>
          <w:sz w:val="21"/>
          <w:szCs w:val="21"/>
          <w:highlight w:val="none"/>
          <w:lang w:val="en-US" w:eastAsia="zh-CN"/>
        </w:rPr>
        <w:t>36</w:t>
      </w:r>
      <w:r>
        <w:rPr>
          <w:rFonts w:hint="default" w:ascii="Times New Roman" w:hAnsi="Times New Roman" w:eastAsia="宋体" w:cs="Times New Roman"/>
          <w:sz w:val="21"/>
          <w:szCs w:val="21"/>
          <w:highlight w:val="none"/>
          <w:lang w:val="en-US" w:eastAsia="zh-CN"/>
        </w:rPr>
        <w:t>张，年</w:t>
      </w:r>
      <w:r>
        <w:rPr>
          <w:rFonts w:hint="eastAsia" w:ascii="Times New Roman" w:hAnsi="Times New Roman" w:eastAsia="宋体" w:cs="Times New Roman"/>
          <w:sz w:val="21"/>
          <w:szCs w:val="21"/>
          <w:highlight w:val="none"/>
          <w:lang w:val="en-US" w:eastAsia="zh-CN"/>
        </w:rPr>
        <w:t>出院</w:t>
      </w:r>
      <w:r>
        <w:rPr>
          <w:rFonts w:hint="default" w:ascii="Times New Roman" w:hAnsi="Times New Roman" w:eastAsia="宋体" w:cs="Times New Roman"/>
          <w:sz w:val="21"/>
          <w:szCs w:val="21"/>
          <w:highlight w:val="none"/>
          <w:lang w:val="en-US" w:eastAsia="zh-CN"/>
        </w:rPr>
        <w:t>700余人次，年手术400余台次，年门诊量6000余人次</w:t>
      </w:r>
      <w:r>
        <w:rPr>
          <w:rFonts w:hint="eastAsia"/>
          <w:highlight w:val="none"/>
          <w:lang w:val="en-US" w:eastAsia="zh-CN"/>
        </w:rPr>
        <w:t>，</w:t>
      </w:r>
      <w:r>
        <w:rPr>
          <w:rFonts w:hint="eastAsia" w:asciiTheme="minorAscii" w:hAnsiTheme="minorAscii"/>
          <w:sz w:val="21"/>
          <w:highlight w:val="none"/>
          <w:lang w:val="en-US" w:eastAsia="zh-CN"/>
        </w:rPr>
        <w:t>已开展临床研究多项。</w:t>
      </w:r>
    </w:p>
    <w:p w14:paraId="2F936AC1">
      <w:pPr>
        <w:rPr>
          <w:rFonts w:hint="eastAsia"/>
          <w:highlight w:val="none"/>
          <w:lang w:val="en-US" w:eastAsia="zh-CN"/>
        </w:rPr>
      </w:pPr>
    </w:p>
    <w:p w14:paraId="2469313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康复医学科：器械备案</w:t>
      </w:r>
    </w:p>
    <w:p w14:paraId="2F7B151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罗建昌，副主任中医师</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浙江省中医重点学科后备学科带头人，</w:t>
      </w:r>
      <w:r>
        <w:rPr>
          <w:rFonts w:hint="default" w:asciiTheme="minorAscii" w:hAnsiTheme="minorAscii"/>
          <w:sz w:val="21"/>
          <w:highlight w:val="none"/>
          <w:lang w:val="en-US" w:eastAsia="zh-CN"/>
        </w:rPr>
        <w:t>浙江省“小而强”临床创新团队临床负责人，</w:t>
      </w:r>
      <w:r>
        <w:rPr>
          <w:rFonts w:hint="default" w:ascii="Times New Roman" w:hAnsi="Times New Roman" w:eastAsia="宋体" w:cs="Times New Roman"/>
          <w:sz w:val="21"/>
          <w:szCs w:val="21"/>
          <w:highlight w:val="none"/>
          <w:lang w:val="en-US" w:eastAsia="zh-CN"/>
        </w:rPr>
        <w:t>台州市第二届中青年名中医</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担任浙江省针灸学会理事/针推结合专委会常委</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台州市针灸学会秘书长兼针灸康复专委会主委等。</w:t>
      </w:r>
    </w:p>
    <w:p w14:paraId="0F4D67A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p>
    <w:p w14:paraId="5CE47987">
      <w:pPr>
        <w:rPr>
          <w:rFonts w:hint="eastAsia" w:asciiTheme="minorAscii" w:hAnsiTheme="minorAscii"/>
          <w:sz w:val="21"/>
          <w:highlight w:val="none"/>
          <w:lang w:val="en-US" w:eastAsia="zh-CN"/>
        </w:rPr>
      </w:pPr>
      <w:r>
        <w:rPr>
          <w:rStyle w:val="8"/>
          <w:rFonts w:hint="default"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default" w:ascii="Times New Roman" w:hAnsi="Times New Roman" w:eastAsia="宋体" w:cs="Times New Roman"/>
          <w:sz w:val="21"/>
          <w:szCs w:val="21"/>
          <w:highlight w:val="none"/>
          <w:lang w:val="en-US" w:eastAsia="zh-CN"/>
        </w:rPr>
        <w:t>康复医学科是“十二五”浙江省中医药重点学科、台州市中医（中西医结合）重点学科、台州市市级康复医疗诊治中心、台州市临床重点专科、浙江省微针刀疗法培训基地、浙江省针灸学会脑病专委会主委单位、台州学院中西医脊柱病研究所所长单位、台州市针灸学会会长单位及秘书长单位、台州市针灸学会针灸康复主委单位。涉及病种主要包括：脑血管病恢复期及后遗症期、周围神经病、小儿抽动症、脊柱关节软组织疾病等；开展微针刀、头皮针、穴位埋线、穴位敷贴、电针、现代康复物理治疗等特色疗法项目。开放床位</w:t>
      </w:r>
      <w:r>
        <w:rPr>
          <w:rFonts w:hint="eastAsia" w:ascii="Times New Roman" w:hAnsi="Times New Roman" w:eastAsia="宋体" w:cs="Times New Roman"/>
          <w:sz w:val="21"/>
          <w:szCs w:val="21"/>
          <w:highlight w:val="none"/>
          <w:lang w:val="en-US" w:eastAsia="zh-CN"/>
        </w:rPr>
        <w:t>48</w:t>
      </w:r>
      <w:r>
        <w:rPr>
          <w:rFonts w:hint="default" w:ascii="Times New Roman" w:hAnsi="Times New Roman" w:eastAsia="宋体" w:cs="Times New Roman"/>
          <w:sz w:val="21"/>
          <w:szCs w:val="21"/>
          <w:highlight w:val="none"/>
          <w:lang w:val="en-US" w:eastAsia="zh-CN"/>
        </w:rPr>
        <w:t>张，年</w:t>
      </w:r>
      <w:r>
        <w:rPr>
          <w:rFonts w:hint="eastAsia" w:ascii="Times New Roman" w:hAnsi="Times New Roman" w:eastAsia="宋体" w:cs="Times New Roman"/>
          <w:sz w:val="21"/>
          <w:szCs w:val="21"/>
          <w:highlight w:val="none"/>
          <w:lang w:val="en-US" w:eastAsia="zh-CN"/>
        </w:rPr>
        <w:t>出院</w:t>
      </w:r>
      <w:r>
        <w:rPr>
          <w:rFonts w:hint="default" w:ascii="Times New Roman" w:hAnsi="Times New Roman" w:eastAsia="宋体" w:cs="Times New Roman"/>
          <w:sz w:val="21"/>
          <w:szCs w:val="21"/>
          <w:highlight w:val="none"/>
          <w:lang w:val="en-US" w:eastAsia="zh-CN"/>
        </w:rPr>
        <w:t>500余人次，年门诊量50000余人次</w:t>
      </w:r>
      <w:r>
        <w:rPr>
          <w:rFonts w:hint="eastAsia"/>
          <w:highlight w:val="none"/>
          <w:lang w:val="en-US" w:eastAsia="zh-CN"/>
        </w:rPr>
        <w:t>，</w:t>
      </w:r>
      <w:r>
        <w:rPr>
          <w:rFonts w:hint="eastAsia" w:asciiTheme="minorAscii" w:hAnsiTheme="minorAscii"/>
          <w:sz w:val="21"/>
          <w:highlight w:val="none"/>
          <w:lang w:val="en-US" w:eastAsia="zh-CN"/>
        </w:rPr>
        <w:t>已开展临床研究多项。</w:t>
      </w:r>
    </w:p>
    <w:p w14:paraId="3B2765A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pPr>
    </w:p>
    <w:p w14:paraId="351A6A5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骨科：器械备案</w:t>
      </w:r>
    </w:p>
    <w:p w14:paraId="524745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郑文标，主任医师，硕士研究生导师，郑文标名医工作室领衔人；担任台州市中西医结合骨伤科主委，台州市技术指导中心</w:t>
      </w:r>
      <w:r>
        <w:rPr>
          <w:rFonts w:hint="eastAsia" w:ascii="Times New Roman" w:hAnsi="Times New Roman" w:eastAsia="宋体" w:cs="Times New Roman"/>
          <w:sz w:val="21"/>
          <w:szCs w:val="21"/>
          <w:highlight w:val="none"/>
          <w:lang w:val="en-US" w:eastAsia="zh-CN"/>
        </w:rPr>
        <w:t>副</w:t>
      </w:r>
      <w:r>
        <w:rPr>
          <w:rFonts w:hint="default" w:ascii="Times New Roman" w:hAnsi="Times New Roman" w:eastAsia="宋体" w:cs="Times New Roman"/>
          <w:sz w:val="21"/>
          <w:szCs w:val="21"/>
          <w:highlight w:val="none"/>
          <w:lang w:val="en-US" w:eastAsia="zh-CN"/>
        </w:rPr>
        <w:t>主任，台州市医学会骨科学会脊柱学组副组长、中国老年保健协会骨关节分会常委，中国医师协会医学科学普及分会委员、浙江省医师协会骨科分会委员等；获得浙江省卫生系统抗震救灾先进个人；台州市重点学科带头人。</w:t>
      </w:r>
    </w:p>
    <w:p w14:paraId="72BDA4A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p>
    <w:p w14:paraId="1FDB6D9A">
      <w:pPr>
        <w:rPr>
          <w:rFonts w:hint="eastAsia" w:asciiTheme="minorAscii" w:hAnsiTheme="minorAscii"/>
          <w:sz w:val="21"/>
          <w:highlight w:val="none"/>
          <w:lang w:val="en-US" w:eastAsia="zh-CN"/>
        </w:rPr>
      </w:pPr>
      <w:r>
        <w:rPr>
          <w:rStyle w:val="8"/>
          <w:rFonts w:hint="default"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default" w:ascii="Times New Roman" w:hAnsi="Times New Roman" w:eastAsia="宋体" w:cs="Times New Roman"/>
          <w:sz w:val="21"/>
          <w:szCs w:val="21"/>
          <w:highlight w:val="none"/>
          <w:lang w:val="en-US" w:eastAsia="zh-CN"/>
        </w:rPr>
        <w:t>骨科是台州市医学重点学科，</w:t>
      </w:r>
      <w:r>
        <w:rPr>
          <w:rFonts w:hint="default" w:ascii="Times New Roman" w:hAnsi="Times New Roman" w:eastAsia="宋体" w:cs="Times New Roman"/>
          <w:b w:val="0"/>
          <w:bCs w:val="0"/>
          <w:sz w:val="21"/>
          <w:szCs w:val="21"/>
          <w:highlight w:val="none"/>
          <w:lang w:val="en-US" w:eastAsia="zh-CN"/>
        </w:rPr>
        <w:t>是</w:t>
      </w:r>
      <w:r>
        <w:rPr>
          <w:rFonts w:hint="default" w:ascii="Times New Roman" w:hAnsi="Times New Roman" w:eastAsia="宋体" w:cs="Times New Roman"/>
          <w:b w:val="0"/>
          <w:bCs w:val="0"/>
          <w:color w:val="333333"/>
          <w:sz w:val="21"/>
          <w:szCs w:val="21"/>
          <w:highlight w:val="none"/>
        </w:rPr>
        <w:t>温州</w:t>
      </w:r>
      <w:r>
        <w:rPr>
          <w:rFonts w:hint="eastAsia" w:ascii="Times New Roman" w:hAnsi="Times New Roman" w:eastAsia="宋体" w:cs="Times New Roman"/>
          <w:b w:val="0"/>
          <w:bCs w:val="0"/>
          <w:color w:val="333333"/>
          <w:sz w:val="21"/>
          <w:szCs w:val="21"/>
          <w:highlight w:val="none"/>
          <w:lang w:val="en-US" w:eastAsia="zh-CN"/>
        </w:rPr>
        <w:t>医科大学</w:t>
      </w:r>
      <w:r>
        <w:rPr>
          <w:rFonts w:hint="default" w:ascii="Times New Roman" w:hAnsi="Times New Roman" w:eastAsia="宋体" w:cs="Times New Roman"/>
          <w:b w:val="0"/>
          <w:bCs w:val="0"/>
          <w:color w:val="333333"/>
          <w:sz w:val="21"/>
          <w:szCs w:val="21"/>
          <w:highlight w:val="none"/>
        </w:rPr>
        <w:t>、浙江中医药大学</w:t>
      </w:r>
      <w:r>
        <w:rPr>
          <w:rFonts w:hint="default" w:ascii="Times New Roman" w:hAnsi="Times New Roman" w:eastAsia="宋体" w:cs="Times New Roman"/>
          <w:b w:val="0"/>
          <w:bCs w:val="0"/>
          <w:sz w:val="21"/>
          <w:szCs w:val="21"/>
          <w:highlight w:val="none"/>
          <w:lang w:val="en-US" w:eastAsia="zh-CN"/>
        </w:rPr>
        <w:t>实习教学基地；</w:t>
      </w:r>
      <w:r>
        <w:rPr>
          <w:rFonts w:hint="default" w:ascii="Times New Roman" w:hAnsi="Times New Roman" w:eastAsia="宋体" w:cs="Times New Roman"/>
          <w:sz w:val="21"/>
          <w:szCs w:val="21"/>
          <w:highlight w:val="none"/>
          <w:lang w:val="en-US" w:eastAsia="zh-CN"/>
        </w:rPr>
        <w:t>近五年承担科研项目近20项，承担医学继续教育项目10余项，发表论文近百篇，获浙江省科学技术进步奖1项、台州市科学技术进步奖2项；拥有3个病区，7个亚专科，开放床位126张；年门诊人次70000余人次，出院6000余人次</w:t>
      </w:r>
      <w:r>
        <w:rPr>
          <w:rFonts w:hint="eastAsia"/>
          <w:highlight w:val="none"/>
          <w:lang w:val="en-US" w:eastAsia="zh-CN"/>
        </w:rPr>
        <w:t>，</w:t>
      </w:r>
      <w:r>
        <w:rPr>
          <w:rFonts w:hint="eastAsia" w:asciiTheme="minorAscii" w:hAnsiTheme="minorAscii"/>
          <w:sz w:val="21"/>
          <w:highlight w:val="none"/>
          <w:lang w:val="en-US" w:eastAsia="zh-CN"/>
        </w:rPr>
        <w:t>已开展临床研究多项。</w:t>
      </w:r>
    </w:p>
    <w:p w14:paraId="68015797">
      <w:pPr>
        <w:rPr>
          <w:rFonts w:hint="eastAsia" w:asciiTheme="minorAscii" w:hAnsiTheme="minorAscii"/>
          <w:sz w:val="21"/>
          <w:highlight w:val="none"/>
          <w:lang w:val="en-US" w:eastAsia="zh-CN"/>
        </w:rPr>
      </w:pPr>
    </w:p>
    <w:p w14:paraId="031C70F1">
      <w:pPr>
        <w:rPr>
          <w:rFonts w:hint="eastAsia"/>
          <w:highlight w:val="none"/>
          <w:lang w:val="en-US" w:eastAsia="zh-CN"/>
        </w:rPr>
      </w:pPr>
    </w:p>
    <w:p w14:paraId="2665ADD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耳鼻咽喉科：器械备案</w:t>
      </w:r>
    </w:p>
    <w:p w14:paraId="57C5B5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陶宝鸿，主任医师</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担任台州学院耳鼻咽喉科研究所所长、台州市耳鼻咽喉科基础及临床应用重点实验室主任、台州市耳鼻咽喉科学分会主任委员。</w:t>
      </w:r>
    </w:p>
    <w:p w14:paraId="7E7F0B9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p>
    <w:p w14:paraId="732EB767">
      <w:pPr>
        <w:rPr>
          <w:rFonts w:hint="default" w:asciiTheme="minorAscii" w:hAnsiTheme="minorAscii"/>
          <w:sz w:val="21"/>
          <w:highlight w:val="none"/>
          <w:lang w:val="en-US" w:eastAsia="zh-CN"/>
        </w:rPr>
      </w:pPr>
      <w:r>
        <w:rPr>
          <w:rStyle w:val="8"/>
          <w:rFonts w:hint="default"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default" w:asciiTheme="minorAscii" w:hAnsiTheme="minorAscii"/>
          <w:sz w:val="21"/>
          <w:highlight w:val="none"/>
          <w:lang w:val="en-US" w:eastAsia="zh-CN"/>
        </w:rPr>
        <w:t>耳鼻咽喉科为台州市医学会耳鼻咽喉科学分会现任主任委员单位。台州市医学重点学科“培养学科”，医院重点专科“品牌学科”，浙江省人工耳蜗植入手术定点培育医院。附设拥有“台州学院耳鼻咽喉科研究所”和“耳鼻咽喉科基础与临床应用实验室”(台州市重点实验室)的学科建设平台。临床开展过敏免疫、鼾症、眩晕疾病、鼻内镜外科、头颈肿瘤外科、声嘶嗓音医学、人工耳蜗和中耳听力重建及助听器验配听力康复等诊疗项目，尤其在过敏性鼻炎外科治疗和耳内镜中耳听力重建手术，走在省内前列。开放床位32张，年出院2500余人次，年门诊量78000余人次，已开展临床研究多项。</w:t>
      </w:r>
    </w:p>
    <w:p w14:paraId="4390A565">
      <w:pPr>
        <w:rPr>
          <w:rFonts w:hint="eastAsia"/>
          <w:highlight w:val="none"/>
          <w:lang w:val="en-US" w:eastAsia="zh-CN"/>
        </w:rPr>
      </w:pPr>
    </w:p>
    <w:p w14:paraId="79A31F9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206457"/>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医疗美容科：器械备案</w:t>
      </w:r>
    </w:p>
    <w:p w14:paraId="31DBB26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吕静瑶，主任医师；担任台州市整形美容协会副会长、中国整形美容协会激光美容分会青年委员、中整协医美线技术分会常务理事等。</w:t>
      </w:r>
    </w:p>
    <w:p w14:paraId="7E2E980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p>
    <w:p w14:paraId="2E1C27C2">
      <w:pPr>
        <w:rPr>
          <w:rFonts w:hint="eastAsia" w:asciiTheme="minorAscii" w:hAnsiTheme="minorAscii"/>
          <w:sz w:val="21"/>
          <w:highlight w:val="none"/>
          <w:lang w:val="en-US" w:eastAsia="zh-CN"/>
        </w:rPr>
      </w:pPr>
      <w:r>
        <w:rPr>
          <w:rStyle w:val="8"/>
          <w:rFonts w:hint="default"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default" w:ascii="Times New Roman" w:hAnsi="Times New Roman" w:eastAsia="宋体" w:cs="Times New Roman"/>
          <w:sz w:val="21"/>
          <w:szCs w:val="21"/>
          <w:highlight w:val="none"/>
          <w:lang w:val="en-US" w:eastAsia="zh-CN"/>
        </w:rPr>
        <w:t>医疗美容科常规开展眼鼻及面部整形手术，微整形注射美容，毛发移植手术及微针生发治疗脱发，腋臭微创手术，美容缝合技术，疤痕修复手术和激光光电治疗，无创私密整形，创面修复等诊疗项目。科室设备光子平台、科医人二氧化碳点阵激光、半岛黄金微针等仪器设备</w:t>
      </w:r>
      <w:r>
        <w:rPr>
          <w:rFonts w:hint="eastAsia"/>
          <w:highlight w:val="none"/>
          <w:lang w:val="en-US" w:eastAsia="zh-CN"/>
        </w:rPr>
        <w:t>，</w:t>
      </w:r>
      <w:r>
        <w:rPr>
          <w:rFonts w:hint="eastAsia" w:asciiTheme="minorAscii" w:hAnsiTheme="minorAscii"/>
          <w:sz w:val="21"/>
          <w:highlight w:val="none"/>
          <w:lang w:val="en-US" w:eastAsia="zh-CN"/>
        </w:rPr>
        <w:t>已开展临床研究多项。</w:t>
      </w:r>
    </w:p>
    <w:p w14:paraId="34402E61">
      <w:pPr>
        <w:rPr>
          <w:rFonts w:hint="default" w:asciiTheme="minorAscii" w:hAnsiTheme="minorAscii"/>
          <w:sz w:val="21"/>
          <w:highlight w:val="none"/>
          <w:lang w:val="en-US" w:eastAsia="zh-CN"/>
        </w:rPr>
      </w:pPr>
    </w:p>
    <w:p w14:paraId="4BCE7AFF">
      <w:pPr>
        <w:rPr>
          <w:rFonts w:hint="default" w:asciiTheme="minorAscii" w:hAnsiTheme="minorAscii"/>
          <w:sz w:val="21"/>
          <w:highlight w:val="none"/>
          <w:lang w:val="en-US" w:eastAsia="zh-CN"/>
        </w:rPr>
      </w:pPr>
    </w:p>
    <w:p w14:paraId="67D9B73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8"/>
          <w:rFonts w:hint="default" w:ascii="Times New Roman" w:hAnsi="Times New Roman" w:eastAsia="宋体" w:cs="Times New Roman"/>
          <w:i w:val="0"/>
          <w:iCs w:val="0"/>
          <w:caps w:val="0"/>
          <w:color w:val="FF0000"/>
          <w:spacing w:val="0"/>
          <w:kern w:val="2"/>
          <w:sz w:val="28"/>
          <w:szCs w:val="28"/>
          <w:highlight w:val="none"/>
          <w:lang w:val="en-US" w:eastAsia="zh-CN" w:bidi="ar-SA"/>
        </w:rPr>
      </w:pPr>
      <w:r>
        <w:rPr>
          <w:rStyle w:val="8"/>
          <w:rFonts w:hint="eastAsia" w:ascii="Times New Roman" w:hAnsi="Times New Roman" w:eastAsia="宋体" w:cs="Times New Roman"/>
          <w:i w:val="0"/>
          <w:iCs w:val="0"/>
          <w:caps w:val="0"/>
          <w:color w:val="FF0000"/>
          <w:spacing w:val="0"/>
          <w:kern w:val="2"/>
          <w:sz w:val="28"/>
          <w:szCs w:val="28"/>
          <w:highlight w:val="none"/>
          <w:lang w:val="en-US" w:eastAsia="zh-CN" w:bidi="ar-SA"/>
        </w:rPr>
        <w:t>医学检验科：器械备案</w:t>
      </w:r>
    </w:p>
    <w:p w14:paraId="5862350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Style w:val="8"/>
          <w:rFonts w:hint="default" w:ascii="Times New Roman" w:hAnsi="Times New Roman" w:eastAsia="宋体" w:cs="Times New Roman"/>
          <w:i w:val="0"/>
          <w:iCs w:val="0"/>
          <w:caps w:val="0"/>
          <w:color w:val="206457"/>
          <w:spacing w:val="0"/>
          <w:sz w:val="21"/>
          <w:szCs w:val="21"/>
          <w:highlight w:val="none"/>
        </w:rPr>
        <w:t>主要研究者简介：</w:t>
      </w:r>
      <w:r>
        <w:rPr>
          <w:rFonts w:hint="default" w:ascii="Times New Roman" w:hAnsi="Times New Roman" w:eastAsia="宋体" w:cs="Times New Roman"/>
          <w:sz w:val="21"/>
          <w:szCs w:val="21"/>
          <w:highlight w:val="none"/>
          <w:lang w:val="en-US" w:eastAsia="zh-CN"/>
        </w:rPr>
        <w:t>张瑾，主任技师；担任浙江省免疫学会临床免疫技术分会常委、浙江省医学会医学检验医师分会委员、浙江省医学会医学检验分会自身免疫专业学组委员、台州市医学会检验学组副主委。</w:t>
      </w:r>
    </w:p>
    <w:p w14:paraId="2CB94E4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刘池波，主任技师，浙江省151人才，浙江省医坛新秀；担任中国检验检测学会委员、浙江省生物样本库协作组专家委员会委员、浙江省检验检测学会委员、台州市医学会检验医学分会委员。</w:t>
      </w:r>
    </w:p>
    <w:p w14:paraId="342F48C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21"/>
          <w:szCs w:val="21"/>
          <w:highlight w:val="none"/>
          <w:lang w:val="en-US" w:eastAsia="zh-CN"/>
        </w:rPr>
      </w:pPr>
      <w:bookmarkStart w:id="0" w:name="_GoBack"/>
      <w:bookmarkEnd w:id="0"/>
    </w:p>
    <w:p w14:paraId="5689F8AD">
      <w:pPr>
        <w:rPr>
          <w:rFonts w:hint="eastAsia"/>
          <w:highlight w:val="none"/>
          <w:lang w:val="en-US" w:eastAsia="zh-CN"/>
        </w:rPr>
      </w:pPr>
      <w:r>
        <w:rPr>
          <w:rStyle w:val="8"/>
          <w:rFonts w:hint="eastAsia" w:ascii="Times New Roman" w:hAnsi="Times New Roman" w:eastAsia="宋体" w:cs="Times New Roman"/>
          <w:i w:val="0"/>
          <w:iCs w:val="0"/>
          <w:caps w:val="0"/>
          <w:color w:val="206457"/>
          <w:spacing w:val="0"/>
          <w:kern w:val="2"/>
          <w:sz w:val="21"/>
          <w:szCs w:val="21"/>
          <w:highlight w:val="none"/>
          <w:lang w:val="en-US" w:eastAsia="zh-CN" w:bidi="ar-SA"/>
        </w:rPr>
        <w:t>科室简介：</w:t>
      </w:r>
      <w:r>
        <w:rPr>
          <w:rFonts w:hint="eastAsia"/>
          <w:highlight w:val="none"/>
          <w:lang w:val="en-US" w:eastAsia="zh-CN"/>
        </w:rPr>
        <w:t>医学检验中心总面积3500平方米，严格按Ⅱ级生物安全实验室要求建设，拥有2个负压PCR实验室；配备全自动生化免疫流水线、自动化血液分析流水线、自动化尿液分析流水线、自动化微生物分析仪、微生物质谱鉴定仪、荧光定量PCR仪、流式细胞仪等仪器设备；开展临床生物化学、临床免疫学、临床微生物学、临床分子诊断、临床血液检验、临床体液检验等开展494项目，年检验标本数超300余万份，</w:t>
      </w:r>
      <w:r>
        <w:rPr>
          <w:rFonts w:hint="eastAsia" w:asciiTheme="minorAscii" w:hAnsiTheme="minorAscii"/>
          <w:sz w:val="21"/>
          <w:highlight w:val="none"/>
          <w:lang w:val="en-US" w:eastAsia="zh-CN"/>
        </w:rPr>
        <w:t>已开展注册研究5项，体外诊断项目100余项。</w:t>
      </w:r>
    </w:p>
    <w:p w14:paraId="65E9410B">
      <w:pPr>
        <w:rPr>
          <w:rFonts w:hint="eastAsia"/>
          <w:highlight w:val="none"/>
          <w:lang w:val="en-US" w:eastAsia="zh-CN"/>
        </w:rPr>
      </w:pP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5NmZjZDIyZGYzZmM5ZTY3OWFlZmRhMjgxZTM5NmQifQ=="/>
  </w:docVars>
  <w:rsids>
    <w:rsidRoot w:val="00000000"/>
    <w:rsid w:val="00ED6E0D"/>
    <w:rsid w:val="013F2D9E"/>
    <w:rsid w:val="01845420"/>
    <w:rsid w:val="02574CE3"/>
    <w:rsid w:val="03612FE1"/>
    <w:rsid w:val="03DA485D"/>
    <w:rsid w:val="043B10FF"/>
    <w:rsid w:val="059E1945"/>
    <w:rsid w:val="07DA4439"/>
    <w:rsid w:val="08193505"/>
    <w:rsid w:val="08C47915"/>
    <w:rsid w:val="097E6C42"/>
    <w:rsid w:val="09B32641"/>
    <w:rsid w:val="0B157C57"/>
    <w:rsid w:val="115C2CF7"/>
    <w:rsid w:val="137B32C6"/>
    <w:rsid w:val="14A76EB4"/>
    <w:rsid w:val="16133A7A"/>
    <w:rsid w:val="16ED1A3E"/>
    <w:rsid w:val="176302F9"/>
    <w:rsid w:val="17905CB4"/>
    <w:rsid w:val="17D3608C"/>
    <w:rsid w:val="1A81091F"/>
    <w:rsid w:val="1B522B5E"/>
    <w:rsid w:val="1D537280"/>
    <w:rsid w:val="20950B80"/>
    <w:rsid w:val="20CF18BD"/>
    <w:rsid w:val="20DA787E"/>
    <w:rsid w:val="222D6CB9"/>
    <w:rsid w:val="23403BE4"/>
    <w:rsid w:val="2B991FA7"/>
    <w:rsid w:val="2C1F6A8C"/>
    <w:rsid w:val="2C581F9E"/>
    <w:rsid w:val="2E270B7A"/>
    <w:rsid w:val="2E343C63"/>
    <w:rsid w:val="2E3A0D5B"/>
    <w:rsid w:val="2E504E68"/>
    <w:rsid w:val="2EF85496"/>
    <w:rsid w:val="2FB616D4"/>
    <w:rsid w:val="32544B6C"/>
    <w:rsid w:val="33D758D3"/>
    <w:rsid w:val="34B27C38"/>
    <w:rsid w:val="3A7B4E23"/>
    <w:rsid w:val="3A9302ED"/>
    <w:rsid w:val="3C86355D"/>
    <w:rsid w:val="3DB51A56"/>
    <w:rsid w:val="3DC456E6"/>
    <w:rsid w:val="3DD91D63"/>
    <w:rsid w:val="40752A82"/>
    <w:rsid w:val="408A66F2"/>
    <w:rsid w:val="40E63BC5"/>
    <w:rsid w:val="417C3D06"/>
    <w:rsid w:val="428D7031"/>
    <w:rsid w:val="477D2A1D"/>
    <w:rsid w:val="48186A9F"/>
    <w:rsid w:val="497B722E"/>
    <w:rsid w:val="4BAE52DF"/>
    <w:rsid w:val="4BB5041C"/>
    <w:rsid w:val="4C5F62DF"/>
    <w:rsid w:val="4CA2304E"/>
    <w:rsid w:val="4D1A54BE"/>
    <w:rsid w:val="4D625306"/>
    <w:rsid w:val="4D64659D"/>
    <w:rsid w:val="4D695962"/>
    <w:rsid w:val="4DAE31A8"/>
    <w:rsid w:val="5152134A"/>
    <w:rsid w:val="54841F68"/>
    <w:rsid w:val="572A43B4"/>
    <w:rsid w:val="57E8457C"/>
    <w:rsid w:val="594F748F"/>
    <w:rsid w:val="59F44805"/>
    <w:rsid w:val="5B0C44D2"/>
    <w:rsid w:val="5BF05C0F"/>
    <w:rsid w:val="5D04198B"/>
    <w:rsid w:val="60B42F40"/>
    <w:rsid w:val="613F6CAD"/>
    <w:rsid w:val="63C35974"/>
    <w:rsid w:val="668775D0"/>
    <w:rsid w:val="69603C65"/>
    <w:rsid w:val="6A6C26E4"/>
    <w:rsid w:val="6B250CC2"/>
    <w:rsid w:val="6D88670D"/>
    <w:rsid w:val="71DD04A2"/>
    <w:rsid w:val="71DF4C9C"/>
    <w:rsid w:val="73371BCC"/>
    <w:rsid w:val="743A5151"/>
    <w:rsid w:val="77860D3A"/>
    <w:rsid w:val="77862AE9"/>
    <w:rsid w:val="77F263D0"/>
    <w:rsid w:val="79842987"/>
    <w:rsid w:val="7B0408F4"/>
    <w:rsid w:val="7F80285D"/>
    <w:rsid w:val="7FA63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font01"/>
    <w:basedOn w:val="7"/>
    <w:qFormat/>
    <w:uiPriority w:val="0"/>
    <w:rPr>
      <w:rFonts w:hint="eastAsia" w:ascii="宋体" w:hAnsi="宋体" w:eastAsia="宋体" w:cs="宋体"/>
      <w:color w:val="000000"/>
      <w:sz w:val="22"/>
      <w:szCs w:val="22"/>
      <w:u w:val="none"/>
    </w:rPr>
  </w:style>
  <w:style w:type="character" w:customStyle="1" w:styleId="10">
    <w:name w:val="font11"/>
    <w:basedOn w:val="7"/>
    <w:qFormat/>
    <w:uiPriority w:val="0"/>
    <w:rPr>
      <w:rFonts w:hint="default" w:ascii="Times New Roman" w:hAnsi="Times New Roman" w:cs="Times New Roman"/>
      <w:color w:val="000000"/>
      <w:sz w:val="22"/>
      <w:szCs w:val="22"/>
      <w:u w:val="none"/>
    </w:rPr>
  </w:style>
  <w:style w:type="character" w:customStyle="1" w:styleId="11">
    <w:name w:val="font21"/>
    <w:basedOn w:val="7"/>
    <w:qFormat/>
    <w:uiPriority w:val="0"/>
    <w:rPr>
      <w:rFonts w:hint="default" w:ascii="Times New Roman" w:hAnsi="Times New Roman" w:cs="Times New Roman"/>
      <w:color w:val="000000"/>
      <w:sz w:val="22"/>
      <w:szCs w:val="22"/>
      <w:u w:val="none"/>
    </w:rPr>
  </w:style>
  <w:style w:type="character" w:customStyle="1" w:styleId="12">
    <w:name w:val="font3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10437</Words>
  <Characters>11201</Characters>
  <Lines>0</Lines>
  <Paragraphs>0</Paragraphs>
  <TotalTime>2</TotalTime>
  <ScaleCrop>false</ScaleCrop>
  <LinksUpToDate>false</LinksUpToDate>
  <CharactersWithSpaces>11240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2024-01-18T03:45:00Z</dcterms:created>
  <dc:creator>Administrator</dc:creator>
  <cp:lastModifiedBy>his</cp:lastModifiedBy>
  <cp:lastPrinted>2024-01-18T05:26:00Z</cp:lastPrinted>
  <dcterms:modified xsi:type="dcterms:W3CDTF">2025-03-14T01:41:21Z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ADE862EFC02E42678A94447B31BF57DE_13</vt:lpwstr>
  </property>
  <property fmtid="{D5CDD505-2E9C-101B-9397-08002B2CF9AE}" pid="4" name="KSOTemplateDocerSaveRecord">
    <vt:lpwstr>eyJoZGlkIjoiNzZlMGFhODYyMTk2NjJjNWJmZDM3MzA2NzNkODNiNzIiLCJ1c2VySWQiOiI5MDc4MjY3NDgifQ==</vt:lpwstr>
  </property>
</Properties>
</file>