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8D448">
      <w:pPr>
        <w:wordWrap w:val="0"/>
        <w:spacing w:line="276" w:lineRule="auto"/>
        <w:rPr>
          <w:rFonts w:hint="default" w:ascii="Times New Roman" w:hAnsi="Times New Roman" w:cs="Times New Roman" w:eastAsiaTheme="minorEastAsia"/>
          <w:b/>
          <w:sz w:val="24"/>
          <w:szCs w:val="24"/>
          <w:lang w:val="zh-CN"/>
        </w:rPr>
      </w:pPr>
    </w:p>
    <w:p w14:paraId="6AB49F4D">
      <w:pPr>
        <w:wordWrap w:val="0"/>
        <w:spacing w:line="276"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CRC服务三方协议</w:t>
      </w:r>
    </w:p>
    <w:p w14:paraId="1C8D55F7">
      <w:pPr>
        <w:wordWrap w:val="0"/>
        <w:spacing w:line="276" w:lineRule="auto"/>
        <w:rPr>
          <w:rFonts w:hint="default" w:ascii="Times New Roman" w:hAnsi="Times New Roman" w:cs="Times New Roman" w:eastAsiaTheme="minorEastAsia"/>
          <w:b/>
          <w:bCs/>
          <w:sz w:val="24"/>
          <w:szCs w:val="24"/>
        </w:rPr>
      </w:pPr>
    </w:p>
    <w:p w14:paraId="7B8C640E">
      <w:pPr>
        <w:wordWrap w:val="0"/>
        <w:spacing w:line="276"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甲方：</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（以下简称为“</w:t>
      </w:r>
      <w:r>
        <w:rPr>
          <w:rFonts w:hint="default" w:ascii="Times New Roman" w:hAnsi="Times New Roman" w:cs="Times New Roman" w:eastAsiaTheme="minorEastAsia"/>
          <w:b/>
          <w:bCs/>
          <w:sz w:val="24"/>
          <w:szCs w:val="24"/>
        </w:rPr>
        <w:t>申办方</w:t>
      </w:r>
      <w:r>
        <w:rPr>
          <w:rFonts w:hint="default" w:ascii="Times New Roman" w:hAnsi="Times New Roman" w:cs="Times New Roman" w:eastAsiaTheme="minorEastAsia"/>
          <w:sz w:val="24"/>
          <w:szCs w:val="24"/>
        </w:rPr>
        <w:t>”）</w:t>
      </w:r>
    </w:p>
    <w:p w14:paraId="0FA9CCC7">
      <w:pPr>
        <w:spacing w:line="276" w:lineRule="auto"/>
        <w:rPr>
          <w:rFonts w:hint="default" w:ascii="Times New Roman" w:hAnsi="Times New Roman" w:cs="Times New Roman" w:eastAsiaTheme="minorEastAsia"/>
          <w:sz w:val="24"/>
          <w:szCs w:val="24"/>
          <w:u w:val="single"/>
          <w:lang w:val="en-US" w:eastAsia="zh-CN"/>
        </w:rPr>
      </w:pPr>
      <w:r>
        <w:rPr>
          <w:rFonts w:hint="default" w:ascii="Times New Roman" w:hAnsi="Times New Roman" w:cs="Times New Roman" w:eastAsiaTheme="minorEastAsia"/>
          <w:sz w:val="24"/>
          <w:szCs w:val="24"/>
        </w:rPr>
        <w:t>地址：</w:t>
      </w:r>
      <w:r>
        <w:rPr>
          <w:rFonts w:hint="default" w:ascii="Times New Roman" w:hAnsi="Times New Roman" w:cs="Times New Roman" w:eastAsiaTheme="minorEastAsia"/>
          <w:sz w:val="24"/>
          <w:szCs w:val="24"/>
          <w:u w:val="single"/>
          <w:lang w:val="en-US" w:eastAsia="zh-CN"/>
        </w:rPr>
        <w:t xml:space="preserve">                                           </w:t>
      </w:r>
    </w:p>
    <w:p w14:paraId="71F66F01">
      <w:pPr>
        <w:keepNext w:val="0"/>
        <w:keepLines w:val="0"/>
        <w:widowControl/>
        <w:suppressLineNumbers w:val="0"/>
        <w:jc w:val="left"/>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pPr>
    </w:p>
    <w:p w14:paraId="716DD045">
      <w:pPr>
        <w:wordWrap w:val="0"/>
        <w:spacing w:line="276"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lang w:val="en-US" w:eastAsia="zh-CN"/>
        </w:rPr>
        <w:t>乙方：</w:t>
      </w:r>
      <w:r>
        <w:rPr>
          <w:rFonts w:hint="default" w:ascii="Times New Roman" w:hAnsi="Times New Roman" w:cs="Times New Roman" w:eastAsiaTheme="minorEastAsia"/>
          <w:sz w:val="24"/>
          <w:szCs w:val="24"/>
          <w:u w:val="single"/>
          <w:lang w:val="en-US" w:eastAsia="zh-CN"/>
        </w:rPr>
        <w:t xml:space="preserve"> </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t>台州市立医院</w:t>
      </w:r>
      <w:r>
        <w:rPr>
          <w:rFonts w:hint="eastAsia" w:ascii="Times New Roman" w:hAnsi="Times New Roman" w:cs="Times New Roman" w:eastAsiaTheme="minorEastAsia"/>
          <w:i w:val="0"/>
          <w:iCs w:val="0"/>
          <w:caps w:val="0"/>
          <w:color w:val="353535"/>
          <w:spacing w:val="0"/>
          <w:kern w:val="0"/>
          <w:sz w:val="24"/>
          <w:szCs w:val="24"/>
          <w:u w:val="single"/>
          <w:shd w:val="clear" w:fill="FFFFFF"/>
          <w:lang w:val="en-US" w:eastAsia="zh-CN" w:bidi="ar"/>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（以下简称为“</w:t>
      </w:r>
      <w:r>
        <w:rPr>
          <w:rFonts w:hint="default" w:ascii="Times New Roman" w:hAnsi="Times New Roman" w:cs="Times New Roman" w:eastAsiaTheme="minorEastAsia"/>
          <w:b/>
          <w:bCs/>
          <w:sz w:val="24"/>
          <w:szCs w:val="24"/>
        </w:rPr>
        <w:t>研究机构</w:t>
      </w:r>
      <w:r>
        <w:rPr>
          <w:rFonts w:hint="default" w:ascii="Times New Roman" w:hAnsi="Times New Roman" w:cs="Times New Roman" w:eastAsiaTheme="minorEastAsia"/>
          <w:sz w:val="24"/>
          <w:szCs w:val="24"/>
        </w:rPr>
        <w:t>”）</w:t>
      </w:r>
    </w:p>
    <w:p w14:paraId="2F26D84F">
      <w:pPr>
        <w:spacing w:line="276" w:lineRule="auto"/>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pPr>
      <w:r>
        <w:rPr>
          <w:rFonts w:hint="default" w:ascii="Times New Roman" w:hAnsi="Times New Roman" w:cs="Times New Roman" w:eastAsiaTheme="minorEastAsia"/>
          <w:sz w:val="24"/>
          <w:szCs w:val="24"/>
        </w:rPr>
        <w:t>地址：</w:t>
      </w:r>
      <w:r>
        <w:rPr>
          <w:rFonts w:hint="default" w:ascii="Times New Roman" w:hAnsi="Times New Roman" w:cs="Times New Roman" w:eastAsiaTheme="minorEastAsia"/>
          <w:sz w:val="24"/>
          <w:szCs w:val="24"/>
          <w:u w:val="single"/>
          <w:lang w:val="en-US" w:eastAsia="zh-CN"/>
        </w:rPr>
        <w:t xml:space="preserve">  </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t>浙江省台州市椒江区</w:t>
      </w:r>
      <w:r>
        <w:rPr>
          <w:rFonts w:hint="eastAsia" w:ascii="Times New Roman" w:hAnsi="Times New Roman" w:cs="Times New Roman" w:eastAsiaTheme="minorEastAsia"/>
          <w:i w:val="0"/>
          <w:iCs w:val="0"/>
          <w:caps w:val="0"/>
          <w:color w:val="353535"/>
          <w:spacing w:val="0"/>
          <w:kern w:val="0"/>
          <w:sz w:val="24"/>
          <w:szCs w:val="24"/>
          <w:u w:val="single"/>
          <w:shd w:val="clear" w:fill="FFFFFF"/>
          <w:lang w:val="en-US" w:eastAsia="zh-CN" w:bidi="ar"/>
        </w:rPr>
        <w:t>市府大道东段581</w:t>
      </w:r>
      <w:r>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t>号</w:t>
      </w:r>
      <w:r>
        <w:rPr>
          <w:rFonts w:hint="eastAsia" w:ascii="Times New Roman" w:hAnsi="Times New Roman" w:cs="Times New Roman" w:eastAsiaTheme="minorEastAsia"/>
          <w:i w:val="0"/>
          <w:iCs w:val="0"/>
          <w:caps w:val="0"/>
          <w:color w:val="353535"/>
          <w:spacing w:val="0"/>
          <w:kern w:val="0"/>
          <w:sz w:val="24"/>
          <w:szCs w:val="24"/>
          <w:u w:val="single"/>
          <w:shd w:val="clear" w:fill="FFFFFF"/>
          <w:lang w:val="en-US" w:eastAsia="zh-CN" w:bidi="ar"/>
        </w:rPr>
        <w:t xml:space="preserve">     </w:t>
      </w:r>
    </w:p>
    <w:p w14:paraId="1EB2B8B0">
      <w:pPr>
        <w:keepNext w:val="0"/>
        <w:keepLines w:val="0"/>
        <w:widowControl/>
        <w:suppressLineNumbers w:val="0"/>
        <w:jc w:val="left"/>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pPr>
    </w:p>
    <w:p w14:paraId="0EF26E27">
      <w:pPr>
        <w:wordWrap w:val="0"/>
        <w:spacing w:line="276" w:lineRule="auto"/>
        <w:rPr>
          <w:rFonts w:hint="default" w:ascii="Times New Roman" w:hAnsi="Times New Roman" w:cs="Times New Roman" w:eastAsiaTheme="minorEastAsia"/>
          <w:sz w:val="24"/>
          <w:szCs w:val="24"/>
        </w:rPr>
      </w:pPr>
      <w:r>
        <w:rPr>
          <w:rFonts w:hint="eastAsia" w:ascii="Times New Roman" w:hAnsi="Times New Roman" w:cs="Times New Roman" w:eastAsiaTheme="minorEastAsia"/>
          <w:b/>
          <w:bCs/>
          <w:sz w:val="24"/>
          <w:szCs w:val="24"/>
          <w:lang w:val="en-US" w:eastAsia="zh-CN"/>
        </w:rPr>
        <w:t>丙</w:t>
      </w:r>
      <w:r>
        <w:rPr>
          <w:rFonts w:hint="default" w:ascii="Times New Roman" w:hAnsi="Times New Roman" w:cs="Times New Roman" w:eastAsiaTheme="minorEastAsia"/>
          <w:b/>
          <w:bCs/>
          <w:sz w:val="24"/>
          <w:szCs w:val="24"/>
        </w:rPr>
        <w:t>方：</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（以下简称为“</w:t>
      </w:r>
      <w:r>
        <w:rPr>
          <w:rFonts w:hint="eastAsia" w:ascii="Times New Roman" w:hAnsi="Times New Roman" w:cs="Times New Roman" w:eastAsiaTheme="minorEastAsia"/>
          <w:b/>
          <w:bCs/>
          <w:sz w:val="24"/>
          <w:szCs w:val="24"/>
          <w:lang w:val="en-US" w:eastAsia="zh-CN"/>
        </w:rPr>
        <w:t>服务</w:t>
      </w:r>
      <w:r>
        <w:rPr>
          <w:rFonts w:hint="default" w:ascii="Times New Roman" w:hAnsi="Times New Roman" w:cs="Times New Roman" w:eastAsiaTheme="minorEastAsia"/>
          <w:b/>
          <w:bCs/>
          <w:sz w:val="24"/>
          <w:szCs w:val="24"/>
        </w:rPr>
        <w:t>方</w:t>
      </w:r>
      <w:r>
        <w:rPr>
          <w:rFonts w:hint="default" w:ascii="Times New Roman" w:hAnsi="Times New Roman" w:cs="Times New Roman" w:eastAsiaTheme="minorEastAsia"/>
          <w:sz w:val="24"/>
          <w:szCs w:val="24"/>
        </w:rPr>
        <w:t>”）</w:t>
      </w:r>
    </w:p>
    <w:p w14:paraId="3055CE07">
      <w:pPr>
        <w:keepNext w:val="0"/>
        <w:keepLines w:val="0"/>
        <w:widowControl/>
        <w:suppressLineNumbers w:val="0"/>
        <w:jc w:val="left"/>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pPr>
      <w:r>
        <w:rPr>
          <w:rFonts w:hint="default" w:ascii="Times New Roman" w:hAnsi="Times New Roman" w:cs="Times New Roman" w:eastAsiaTheme="minorEastAsia"/>
          <w:sz w:val="24"/>
          <w:szCs w:val="24"/>
        </w:rPr>
        <w:t>地址：</w:t>
      </w:r>
      <w:r>
        <w:rPr>
          <w:rFonts w:hint="default" w:ascii="Times New Roman" w:hAnsi="Times New Roman" w:cs="Times New Roman" w:eastAsiaTheme="minorEastAsia"/>
          <w:i w:val="0"/>
          <w:iCs w:val="0"/>
          <w:caps w:val="0"/>
          <w:color w:val="353535"/>
          <w:spacing w:val="0"/>
          <w:kern w:val="0"/>
          <w:sz w:val="24"/>
          <w:szCs w:val="24"/>
          <w:u w:val="single"/>
          <w:shd w:val="clear" w:fill="FFFFFF"/>
          <w:lang w:val="en-US" w:eastAsia="zh-CN" w:bidi="ar"/>
        </w:rPr>
        <w:t xml:space="preserve">                                          </w:t>
      </w:r>
      <w:r>
        <w:rPr>
          <w:rFonts w:hint="eastAsia" w:ascii="Times New Roman" w:hAnsi="Times New Roman" w:cs="Times New Roman" w:eastAsiaTheme="minorEastAsia"/>
          <w:i w:val="0"/>
          <w:iCs w:val="0"/>
          <w:caps w:val="0"/>
          <w:color w:val="353535"/>
          <w:spacing w:val="0"/>
          <w:kern w:val="0"/>
          <w:sz w:val="24"/>
          <w:szCs w:val="24"/>
          <w:u w:val="single"/>
          <w:shd w:val="clear" w:fill="FFFFFF"/>
          <w:lang w:val="en-US" w:eastAsia="zh-CN" w:bidi="ar"/>
        </w:rPr>
        <w:t xml:space="preserve"> </w:t>
      </w:r>
    </w:p>
    <w:p w14:paraId="66CDAE4B">
      <w:pPr>
        <w:wordWrap w:val="0"/>
        <w:spacing w:line="276" w:lineRule="auto"/>
        <w:rPr>
          <w:rFonts w:hint="default" w:ascii="Times New Roman" w:hAnsi="Times New Roman" w:cs="Times New Roman" w:eastAsiaTheme="minorEastAsia"/>
          <w:sz w:val="24"/>
          <w:szCs w:val="24"/>
        </w:rPr>
      </w:pPr>
    </w:p>
    <w:p w14:paraId="7BA46595">
      <w:pPr>
        <w:wordWrap w:val="0"/>
        <w:spacing w:line="276"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甲方、乙方和丙方以下各称“</w:t>
      </w:r>
      <w:r>
        <w:rPr>
          <w:rFonts w:hint="default" w:ascii="Times New Roman" w:hAnsi="Times New Roman" w:cs="Times New Roman" w:eastAsiaTheme="minorEastAsia"/>
          <w:b/>
          <w:bCs/>
          <w:sz w:val="24"/>
          <w:szCs w:val="24"/>
        </w:rPr>
        <w:t>一方</w:t>
      </w:r>
      <w:r>
        <w:rPr>
          <w:rFonts w:hint="default" w:ascii="Times New Roman" w:hAnsi="Times New Roman" w:cs="Times New Roman" w:eastAsiaTheme="minorEastAsia"/>
          <w:sz w:val="24"/>
          <w:szCs w:val="24"/>
        </w:rPr>
        <w:t>”，合称“</w:t>
      </w:r>
      <w:r>
        <w:rPr>
          <w:rFonts w:hint="default" w:ascii="Times New Roman" w:hAnsi="Times New Roman" w:cs="Times New Roman" w:eastAsiaTheme="minorEastAsia"/>
          <w:b/>
          <w:bCs/>
          <w:sz w:val="24"/>
          <w:szCs w:val="24"/>
        </w:rPr>
        <w:t>各方</w:t>
      </w:r>
      <w:r>
        <w:rPr>
          <w:rFonts w:hint="default" w:ascii="Times New Roman" w:hAnsi="Times New Roman" w:cs="Times New Roman" w:eastAsiaTheme="minorEastAsia"/>
          <w:sz w:val="24"/>
          <w:szCs w:val="24"/>
        </w:rPr>
        <w:t xml:space="preserve">”。 </w:t>
      </w:r>
    </w:p>
    <w:p w14:paraId="6CDA0C5F">
      <w:pPr>
        <w:wordWrap w:val="0"/>
        <w:spacing w:line="276" w:lineRule="auto"/>
        <w:rPr>
          <w:rFonts w:hint="default" w:ascii="Times New Roman" w:hAnsi="Times New Roman" w:cs="Times New Roman" w:eastAsiaTheme="minorEastAsia"/>
          <w:sz w:val="24"/>
          <w:szCs w:val="24"/>
        </w:rPr>
      </w:pPr>
    </w:p>
    <w:p w14:paraId="04199379">
      <w:pPr>
        <w:wordWrap w:val="0"/>
        <w:spacing w:line="276"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鉴于：</w:t>
      </w:r>
      <w:r>
        <w:rPr>
          <w:rFonts w:hint="default" w:ascii="Times New Roman" w:hAnsi="Times New Roman" w:cs="Times New Roman" w:eastAsiaTheme="minorEastAsia"/>
          <w:color w:val="000000"/>
          <w:sz w:val="24"/>
          <w:szCs w:val="24"/>
        </w:rPr>
        <w:t>申办方</w:t>
      </w:r>
      <w:r>
        <w:rPr>
          <w:rFonts w:hint="default" w:ascii="Times New Roman" w:hAnsi="Times New Roman" w:cs="Times New Roman" w:eastAsiaTheme="minorEastAsia"/>
          <w:sz w:val="24"/>
          <w:szCs w:val="24"/>
        </w:rPr>
        <w:t>与研究机构就</w:t>
      </w:r>
      <w:r>
        <w:rPr>
          <w:rFonts w:hint="default" w:ascii="Times New Roman" w:hAnsi="Times New Roman" w:cs="Times New Roman" w:eastAsiaTheme="minorEastAsia"/>
          <w:color w:val="000000" w:themeColor="text1"/>
          <w:sz w:val="24"/>
          <w:szCs w:val="24"/>
          <w14:textFill>
            <w14:solidFill>
              <w14:schemeClr w14:val="tx1"/>
            </w14:solidFill>
          </w14:textFill>
        </w:rPr>
        <w:t>“</w:t>
      </w:r>
      <w:bookmarkStart w:id="0" w:name="mf_waDEJkHwHSZeaipF0FKwj_1"/>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bookmarkEnd w:id="0"/>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default" w:ascii="Times New Roman" w:hAnsi="Times New Roman" w:cs="Times New Roman" w:eastAsiaTheme="minorEastAsia"/>
          <w:b/>
          <w:bCs/>
          <w:color w:val="000000" w:themeColor="text1"/>
          <w:sz w:val="24"/>
          <w:szCs w:val="24"/>
          <w14:textFill>
            <w14:solidFill>
              <w14:schemeClr w14:val="tx1"/>
            </w14:solidFill>
          </w14:textFill>
        </w:rPr>
        <w:t>本项目</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default" w:ascii="Times New Roman" w:hAnsi="Times New Roman" w:cs="Times New Roman" w:eastAsiaTheme="minorEastAsia"/>
          <w:color w:val="000000"/>
          <w:sz w:val="24"/>
          <w:szCs w:val="24"/>
        </w:rPr>
        <w:t>签署了</w:t>
      </w:r>
      <w:bookmarkStart w:id="1" w:name="mf_ozs3Wth_G8ctWw-P0fuOO_1"/>
      <w:r>
        <w:rPr>
          <w:rFonts w:hint="default" w:ascii="Times New Roman" w:hAnsi="Times New Roman" w:cs="Times New Roman" w:eastAsiaTheme="minorEastAsia"/>
          <w:color w:val="000000" w:themeColor="text1"/>
          <w:sz w:val="24"/>
          <w:szCs w:val="24"/>
          <w14:textFill>
            <w14:solidFill>
              <w14:schemeClr w14:val="tx1"/>
            </w14:solidFill>
          </w14:textFill>
        </w:rPr>
        <w:t>药物临床试验协议书</w:t>
      </w:r>
      <w:bookmarkEnd w:id="1"/>
      <w:r>
        <w:rPr>
          <w:rFonts w:hint="default" w:ascii="Times New Roman" w:hAnsi="Times New Roman" w:cs="Times New Roman" w:eastAsiaTheme="minorEastAsia"/>
          <w:sz w:val="24"/>
          <w:szCs w:val="24"/>
        </w:rPr>
        <w:t>(“</w:t>
      </w:r>
      <w:r>
        <w:rPr>
          <w:rFonts w:hint="default" w:ascii="Times New Roman" w:hAnsi="Times New Roman" w:cs="Times New Roman" w:eastAsiaTheme="minorEastAsia"/>
          <w:b/>
          <w:bCs/>
          <w:sz w:val="24"/>
          <w:szCs w:val="24"/>
        </w:rPr>
        <w:t>临床试验协议</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color w:val="000000"/>
          <w:sz w:val="24"/>
          <w:szCs w:val="24"/>
        </w:rPr>
        <w:t>，</w:t>
      </w:r>
      <w:r>
        <w:rPr>
          <w:rFonts w:hint="default" w:ascii="Times New Roman" w:hAnsi="Times New Roman" w:cs="Times New Roman" w:eastAsiaTheme="minorEastAsia"/>
          <w:color w:val="000000" w:themeColor="text1"/>
          <w:sz w:val="24"/>
          <w:szCs w:val="24"/>
          <w14:textFill>
            <w14:solidFill>
              <w14:schemeClr w14:val="tx1"/>
            </w14:solidFill>
          </w14:textFill>
        </w:rPr>
        <w:t>根据临床试验协议，申办方委托研究机构为本项目进行临床试验(“</w:t>
      </w:r>
      <w:r>
        <w:rPr>
          <w:rFonts w:hint="default" w:ascii="Times New Roman" w:hAnsi="Times New Roman" w:cs="Times New Roman" w:eastAsiaTheme="minorEastAsia"/>
          <w:b/>
          <w:bCs/>
          <w:color w:val="000000" w:themeColor="text1"/>
          <w:sz w:val="24"/>
          <w:szCs w:val="24"/>
          <w14:textFill>
            <w14:solidFill>
              <w14:schemeClr w14:val="tx1"/>
            </w14:solidFill>
          </w14:textFill>
        </w:rPr>
        <w:t>临床试验</w:t>
      </w:r>
      <w:r>
        <w:rPr>
          <w:rFonts w:hint="default" w:ascii="Times New Roman" w:hAnsi="Times New Roman" w:cs="Times New Roman" w:eastAsiaTheme="minorEastAsia"/>
          <w:color w:val="000000" w:themeColor="text1"/>
          <w:sz w:val="24"/>
          <w:szCs w:val="24"/>
          <w14:textFill>
            <w14:solidFill>
              <w14:schemeClr w14:val="tx1"/>
            </w14:solidFill>
          </w14:textFill>
        </w:rPr>
        <w:t>”)，在研究机构中负责开展该临床试验的主要研究者为</w:t>
      </w:r>
      <w:r>
        <w:rPr>
          <w:rFonts w:hint="default" w:ascii="Times New Roman" w:hAnsi="Times New Roman" w:cs="Times New Roman" w:eastAsiaTheme="minorEastAsia"/>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default" w:ascii="Times New Roman" w:hAnsi="Times New Roman" w:cs="Times New Roman" w:eastAsiaTheme="minorEastAsia"/>
          <w:b/>
          <w:bCs/>
          <w:color w:val="000000" w:themeColor="text1"/>
          <w:sz w:val="24"/>
          <w:szCs w:val="24"/>
          <w14:textFill>
            <w14:solidFill>
              <w14:schemeClr w14:val="tx1"/>
            </w14:solidFill>
          </w14:textFill>
        </w:rPr>
        <w:t>研究者</w:t>
      </w:r>
      <w:r>
        <w:rPr>
          <w:rFonts w:hint="default" w:ascii="Times New Roman" w:hAnsi="Times New Roman" w:cs="Times New Roman" w:eastAsiaTheme="minorEastAsia"/>
          <w:color w:val="000000" w:themeColor="text1"/>
          <w:sz w:val="24"/>
          <w:szCs w:val="24"/>
          <w14:textFill>
            <w14:solidFill>
              <w14:schemeClr w14:val="tx1"/>
            </w14:solidFill>
          </w14:textFill>
        </w:rPr>
        <w:t>”）。为了保证临床试验的顺利进行，协助研究机构的工作，申办方及研究机构同意</w:t>
      </w:r>
      <w:r>
        <w:rPr>
          <w:rFonts w:hint="default" w:ascii="Times New Roman" w:hAnsi="Times New Roman" w:cs="Times New Roman" w:eastAsiaTheme="minorEastAsia"/>
          <w:sz w:val="24"/>
          <w:szCs w:val="24"/>
        </w:rPr>
        <w:t>服务方提供研究支持与协调服务(“</w:t>
      </w:r>
      <w:r>
        <w:rPr>
          <w:rFonts w:hint="default" w:ascii="Times New Roman" w:hAnsi="Times New Roman" w:cs="Times New Roman" w:eastAsiaTheme="minorEastAsia"/>
          <w:b/>
          <w:bCs/>
          <w:sz w:val="24"/>
          <w:szCs w:val="24"/>
        </w:rPr>
        <w:t>CRC服务</w:t>
      </w:r>
      <w:r>
        <w:rPr>
          <w:rFonts w:hint="default" w:ascii="Times New Roman" w:hAnsi="Times New Roman" w:cs="Times New Roman" w:eastAsiaTheme="minorEastAsia"/>
          <w:sz w:val="24"/>
          <w:szCs w:val="24"/>
        </w:rPr>
        <w:t>”)，且申办方同意就CRC服务直接向服务方支付CRC服务费。</w:t>
      </w:r>
    </w:p>
    <w:p w14:paraId="643B3F47">
      <w:pPr>
        <w:wordWrap w:val="0"/>
        <w:spacing w:line="276" w:lineRule="auto"/>
        <w:rPr>
          <w:rFonts w:hint="default" w:ascii="Times New Roman" w:hAnsi="Times New Roman" w:cs="Times New Roman" w:eastAsiaTheme="minorEastAsia"/>
          <w:sz w:val="24"/>
          <w:szCs w:val="24"/>
        </w:rPr>
      </w:pPr>
    </w:p>
    <w:p w14:paraId="4FF77B15">
      <w:pPr>
        <w:wordWrap w:val="0"/>
        <w:spacing w:line="276"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因此，各方本着平等自愿的原则，经协商一致，达成如下协议：</w:t>
      </w:r>
    </w:p>
    <w:p w14:paraId="6439AADF">
      <w:pPr>
        <w:wordWrap w:val="0"/>
        <w:spacing w:line="276" w:lineRule="auto"/>
        <w:rPr>
          <w:rFonts w:hint="default" w:ascii="Times New Roman" w:hAnsi="Times New Roman" w:cs="Times New Roman" w:eastAsiaTheme="minorEastAsia"/>
          <w:sz w:val="24"/>
          <w:szCs w:val="24"/>
        </w:rPr>
      </w:pPr>
    </w:p>
    <w:p w14:paraId="135D097A">
      <w:pPr>
        <w:numPr>
          <w:ilvl w:val="0"/>
          <w:numId w:val="0"/>
        </w:numPr>
        <w:wordWrap w:val="0"/>
        <w:spacing w:line="276" w:lineRule="auto"/>
        <w:ind w:left="0" w:leftChars="0" w:firstLine="0" w:firstLineChars="0"/>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1.</w:t>
      </w:r>
      <w:r>
        <w:rPr>
          <w:rFonts w:hint="default" w:ascii="Times New Roman" w:hAnsi="Times New Roman" w:cs="Times New Roman" w:eastAsiaTheme="minorEastAsia"/>
          <w:b/>
          <w:sz w:val="24"/>
          <w:szCs w:val="24"/>
        </w:rPr>
        <w:t>服务</w:t>
      </w:r>
    </w:p>
    <w:p w14:paraId="73414657">
      <w:pPr>
        <w:numPr>
          <w:ilvl w:val="1"/>
          <w:numId w:val="0"/>
        </w:numPr>
        <w:wordWrap w:val="0"/>
        <w:spacing w:line="276" w:lineRule="auto"/>
        <w:ind w:left="0" w:leftChars="0" w:firstLine="0" w:firstLineChars="0"/>
        <w:rPr>
          <w:rFonts w:hint="default" w:ascii="Times New Roman" w:hAnsi="Times New Roman" w:cs="Times New Roman" w:eastAsiaTheme="minorEastAsia"/>
          <w:color w:val="000000"/>
          <w:sz w:val="24"/>
          <w:szCs w:val="24"/>
        </w:rPr>
      </w:pPr>
      <w:r>
        <w:rPr>
          <w:rFonts w:hint="default" w:ascii="Times New Roman" w:hAnsi="Times New Roman" w:eastAsia="Times New Roman" w:cs="Times New Roman"/>
          <w:b w:val="0"/>
          <w:color w:val="auto"/>
          <w:sz w:val="24"/>
          <w:szCs w:val="24"/>
          <w:lang w:val="en-US" w:eastAsia="zh-CN" w:bidi="ar-SA"/>
        </w:rPr>
        <w:t>1.1</w:t>
      </w:r>
      <w:r>
        <w:rPr>
          <w:rFonts w:hint="default" w:ascii="Times New Roman" w:hAnsi="Times New Roman" w:cs="Times New Roman" w:eastAsiaTheme="minorEastAsia"/>
          <w:sz w:val="24"/>
          <w:szCs w:val="24"/>
        </w:rPr>
        <w:t>服务方应提供CRC服务，</w:t>
      </w:r>
      <w:r>
        <w:rPr>
          <w:rFonts w:hint="default" w:ascii="Times New Roman" w:hAnsi="Times New Roman" w:cs="Times New Roman" w:eastAsiaTheme="minorEastAsia"/>
          <w:color w:val="000000"/>
          <w:sz w:val="24"/>
          <w:szCs w:val="24"/>
        </w:rPr>
        <w:t>CRC职责为从事非医学判断相关工作（详见附件</w:t>
      </w:r>
      <w:r>
        <w:rPr>
          <w:rFonts w:hint="default" w:ascii="Times New Roman" w:hAnsi="Times New Roman" w:cs="Times New Roman" w:eastAsiaTheme="minorEastAsia"/>
          <w:color w:val="000000"/>
          <w:sz w:val="24"/>
          <w:szCs w:val="24"/>
          <w:lang w:val="en-US" w:eastAsia="zh-CN"/>
        </w:rPr>
        <w:t>一</w:t>
      </w:r>
      <w:r>
        <w:rPr>
          <w:rFonts w:hint="default" w:ascii="Times New Roman" w:hAnsi="Times New Roman" w:cs="Times New Roman" w:eastAsiaTheme="minorEastAsia"/>
          <w:color w:val="000000"/>
          <w:sz w:val="24"/>
          <w:szCs w:val="24"/>
        </w:rPr>
        <w:t>），包括但不限于：</w:t>
      </w:r>
    </w:p>
    <w:p w14:paraId="03AA8A8E">
      <w:pPr>
        <w:numPr>
          <w:ilvl w:val="0"/>
          <w:numId w:val="0"/>
        </w:numPr>
        <w:wordWrap w:val="0"/>
        <w:spacing w:line="276" w:lineRule="auto"/>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1.1.1</w:t>
      </w:r>
      <w:r>
        <w:rPr>
          <w:rFonts w:hint="default" w:ascii="Times New Roman" w:hAnsi="Times New Roman" w:cs="Times New Roman" w:eastAsiaTheme="minorEastAsia"/>
          <w:sz w:val="24"/>
          <w:szCs w:val="24"/>
        </w:rPr>
        <w:t>遵守</w:t>
      </w:r>
      <w:r>
        <w:rPr>
          <w:rFonts w:hint="default" w:ascii="Times New Roman" w:hAnsi="Times New Roman" w:cs="Times New Roman" w:eastAsiaTheme="minorEastAsia"/>
          <w:color w:val="000000"/>
          <w:sz w:val="24"/>
          <w:szCs w:val="24"/>
        </w:rPr>
        <w:t>GCP（药物或医疗器械临床试验质量管理规范）和相关适用的法律法规，</w:t>
      </w:r>
      <w:r>
        <w:rPr>
          <w:rFonts w:hint="default" w:ascii="Times New Roman" w:hAnsi="Times New Roman" w:cs="Times New Roman" w:eastAsiaTheme="minorEastAsia"/>
          <w:sz w:val="24"/>
          <w:szCs w:val="24"/>
        </w:rPr>
        <w:t>及研究方案的规定，协助研究者完成相关工作；</w:t>
      </w:r>
    </w:p>
    <w:p w14:paraId="40921904">
      <w:pPr>
        <w:numPr>
          <w:ilvl w:val="0"/>
          <w:numId w:val="0"/>
        </w:numPr>
        <w:wordWrap w:val="0"/>
        <w:spacing w:line="276" w:lineRule="auto"/>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1.1.2</w:t>
      </w:r>
      <w:r>
        <w:rPr>
          <w:rFonts w:hint="default" w:ascii="Times New Roman" w:hAnsi="Times New Roman" w:cs="Times New Roman" w:eastAsiaTheme="minorEastAsia"/>
          <w:sz w:val="24"/>
          <w:szCs w:val="24"/>
        </w:rPr>
        <w:t>在正式开展工作之前，参与《临床研究方案》及相关软件系统等与本试验相关的培训，并接受主要研究者的授权；</w:t>
      </w:r>
    </w:p>
    <w:p w14:paraId="2417D858">
      <w:pPr>
        <w:pStyle w:val="201"/>
        <w:numPr>
          <w:ilvl w:val="0"/>
          <w:numId w:val="0"/>
        </w:numPr>
        <w:wordWrap w:val="0"/>
        <w:spacing w:line="276" w:lineRule="auto"/>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1.1.3</w:t>
      </w:r>
      <w:r>
        <w:rPr>
          <w:rFonts w:hint="default" w:ascii="Times New Roman" w:hAnsi="Times New Roman" w:cs="Times New Roman" w:eastAsiaTheme="minorEastAsia"/>
          <w:sz w:val="24"/>
          <w:szCs w:val="24"/>
        </w:rPr>
        <w:t>在规定的时限内基于原始资料相关信息填写病例报告表(CRF或eCRF)并协助数据质询解答；保证数据的准确、真实、完整性；</w:t>
      </w:r>
    </w:p>
    <w:p w14:paraId="41D361F7">
      <w:pPr>
        <w:numPr>
          <w:ilvl w:val="0"/>
          <w:numId w:val="0"/>
        </w:numPr>
        <w:wordWrap w:val="0"/>
        <w:spacing w:line="276" w:lineRule="auto"/>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1.1.4</w:t>
      </w:r>
      <w:r>
        <w:rPr>
          <w:rFonts w:hint="default" w:ascii="Times New Roman" w:hAnsi="Times New Roman" w:cs="Times New Roman" w:eastAsiaTheme="minorEastAsia"/>
          <w:sz w:val="24"/>
          <w:szCs w:val="24"/>
        </w:rPr>
        <w:t>协助完成研究资料的收集、归档和管理工作，包括伦理审查材料的递交和签字文件收集等；</w:t>
      </w:r>
    </w:p>
    <w:p w14:paraId="65620AD5">
      <w:pPr>
        <w:numPr>
          <w:ilvl w:val="0"/>
          <w:numId w:val="0"/>
        </w:numPr>
        <w:wordWrap w:val="0"/>
        <w:spacing w:line="276" w:lineRule="auto"/>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1.1.5</w:t>
      </w:r>
      <w:r>
        <w:rPr>
          <w:rFonts w:hint="default" w:ascii="Times New Roman" w:hAnsi="Times New Roman" w:cs="Times New Roman" w:eastAsiaTheme="minorEastAsia"/>
          <w:sz w:val="24"/>
          <w:szCs w:val="24"/>
        </w:rPr>
        <w:t>根据研究者的计划协助研究者合理安排受试者访视，并联系提醒受试者按时回访；</w:t>
      </w:r>
    </w:p>
    <w:p w14:paraId="7D467FDE">
      <w:pPr>
        <w:numPr>
          <w:ilvl w:val="0"/>
          <w:numId w:val="0"/>
        </w:numPr>
        <w:wordWrap w:val="0"/>
        <w:spacing w:line="276" w:lineRule="auto"/>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1.1.6</w:t>
      </w:r>
      <w:r>
        <w:rPr>
          <w:rFonts w:hint="default" w:ascii="Times New Roman" w:hAnsi="Times New Roman" w:cs="Times New Roman" w:eastAsiaTheme="minorEastAsia"/>
          <w:sz w:val="24"/>
          <w:szCs w:val="24"/>
        </w:rPr>
        <w:t>协助研究者进行药品</w:t>
      </w:r>
      <w:r>
        <w:rPr>
          <w:rFonts w:hint="default" w:ascii="Times New Roman" w:hAnsi="Times New Roman" w:cs="Times New Roman" w:eastAsiaTheme="minorEastAsia"/>
          <w:color w:val="000000"/>
          <w:sz w:val="24"/>
          <w:szCs w:val="24"/>
        </w:rPr>
        <w:t>或器械</w:t>
      </w:r>
      <w:r>
        <w:rPr>
          <w:rFonts w:hint="default" w:ascii="Times New Roman" w:hAnsi="Times New Roman" w:cs="Times New Roman" w:eastAsiaTheme="minorEastAsia"/>
          <w:sz w:val="24"/>
          <w:szCs w:val="24"/>
        </w:rPr>
        <w:t>的管理和记录，包括药品</w:t>
      </w:r>
      <w:r>
        <w:rPr>
          <w:rFonts w:hint="default" w:ascii="Times New Roman" w:hAnsi="Times New Roman" w:cs="Times New Roman" w:eastAsiaTheme="minorEastAsia"/>
          <w:color w:val="000000"/>
          <w:sz w:val="24"/>
          <w:szCs w:val="24"/>
        </w:rPr>
        <w:t>或器械</w:t>
      </w:r>
      <w:r>
        <w:rPr>
          <w:rFonts w:hint="default" w:ascii="Times New Roman" w:hAnsi="Times New Roman" w:cs="Times New Roman" w:eastAsiaTheme="minorEastAsia"/>
          <w:sz w:val="24"/>
          <w:szCs w:val="24"/>
        </w:rPr>
        <w:t>的接收及回收，药品的发放、存储，</w:t>
      </w:r>
      <w:r>
        <w:rPr>
          <w:rFonts w:hint="default" w:ascii="Times New Roman" w:hAnsi="Times New Roman" w:cs="Times New Roman" w:eastAsiaTheme="minorEastAsia"/>
          <w:color w:val="000000"/>
          <w:sz w:val="24"/>
          <w:szCs w:val="24"/>
        </w:rPr>
        <w:t>器械的清点</w:t>
      </w:r>
      <w:r>
        <w:rPr>
          <w:rFonts w:hint="default" w:ascii="Times New Roman" w:hAnsi="Times New Roman" w:cs="Times New Roman" w:eastAsiaTheme="minorEastAsia"/>
          <w:sz w:val="24"/>
          <w:szCs w:val="24"/>
        </w:rPr>
        <w:t>等；</w:t>
      </w:r>
    </w:p>
    <w:p w14:paraId="14A45678">
      <w:pPr>
        <w:pStyle w:val="201"/>
        <w:numPr>
          <w:ilvl w:val="0"/>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1.1.7</w:t>
      </w:r>
      <w:r>
        <w:rPr>
          <w:rFonts w:hint="default" w:ascii="Times New Roman" w:hAnsi="Times New Roman" w:cs="Times New Roman" w:eastAsiaTheme="minorEastAsia"/>
          <w:sz w:val="24"/>
          <w:szCs w:val="24"/>
        </w:rPr>
        <w:t>中心实验室耗材的预定和管理，协助研究者进行样本管理、标本制备、安排运输等；</w:t>
      </w:r>
    </w:p>
    <w:p w14:paraId="7F9605F1">
      <w:pPr>
        <w:pStyle w:val="203"/>
        <w:numPr>
          <w:ilvl w:val="0"/>
          <w:numId w:val="0"/>
        </w:numPr>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1.1.8</w:t>
      </w:r>
      <w:r>
        <w:rPr>
          <w:rFonts w:hint="default" w:ascii="Times New Roman" w:hAnsi="Times New Roman" w:cs="Times New Roman" w:eastAsiaTheme="minorEastAsia"/>
          <w:sz w:val="24"/>
          <w:szCs w:val="24"/>
        </w:rPr>
        <w:t>协助研究者配合监查、稽查和检查等工作；</w:t>
      </w:r>
    </w:p>
    <w:p w14:paraId="70514DDB">
      <w:pPr>
        <w:numPr>
          <w:ilvl w:val="0"/>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lang w:val="en-US" w:eastAsia="zh-CN" w:bidi="ar-SA"/>
        </w:rPr>
        <w:t>1.1.9</w:t>
      </w:r>
      <w:r>
        <w:rPr>
          <w:rFonts w:hint="default" w:ascii="Times New Roman" w:hAnsi="Times New Roman" w:cs="Times New Roman" w:eastAsiaTheme="minorEastAsia"/>
          <w:sz w:val="24"/>
          <w:szCs w:val="24"/>
        </w:rPr>
        <w:t>协助</w:t>
      </w:r>
      <w:r>
        <w:rPr>
          <w:rFonts w:hint="default" w:ascii="Times New Roman" w:hAnsi="Times New Roman" w:cs="Times New Roman" w:eastAsiaTheme="minorEastAsia"/>
          <w:color w:val="000000"/>
          <w:sz w:val="24"/>
          <w:szCs w:val="24"/>
        </w:rPr>
        <w:t>研究者完成其合理安排的属于CRC服务范围的其他任务</w:t>
      </w:r>
      <w:r>
        <w:rPr>
          <w:rFonts w:hint="default" w:ascii="Times New Roman" w:hAnsi="Times New Roman" w:cs="Times New Roman" w:eastAsiaTheme="minorEastAsia"/>
          <w:sz w:val="24"/>
          <w:szCs w:val="24"/>
        </w:rPr>
        <w:t>。</w:t>
      </w:r>
    </w:p>
    <w:p w14:paraId="6C813AD4">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1.2</w:t>
      </w:r>
      <w:r>
        <w:rPr>
          <w:rFonts w:hint="default" w:ascii="Times New Roman" w:hAnsi="Times New Roman" w:cs="Times New Roman" w:eastAsiaTheme="minorEastAsia"/>
          <w:sz w:val="24"/>
          <w:szCs w:val="24"/>
        </w:rPr>
        <w:t>服务期限：本协议自生效日生效，至服务完成时到期。预计自</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年</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月</w:t>
      </w:r>
      <w:r>
        <w:rPr>
          <w:rFonts w:hint="default" w:ascii="Times New Roman" w:hAnsi="Times New Roman" w:cs="Times New Roman" w:eastAsiaTheme="minorEastAsia"/>
          <w:sz w:val="24"/>
          <w:szCs w:val="24"/>
          <w:highlight w:val="none"/>
        </w:rPr>
        <w:t>起至</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年</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月</w:t>
      </w:r>
      <w:r>
        <w:rPr>
          <w:rFonts w:hint="default" w:ascii="Times New Roman" w:hAnsi="Times New Roman" w:cs="Times New Roman" w:eastAsiaTheme="minorEastAsia"/>
          <w:sz w:val="24"/>
          <w:szCs w:val="24"/>
          <w:highlight w:val="none"/>
        </w:rPr>
        <w:t>止。</w:t>
      </w:r>
    </w:p>
    <w:p w14:paraId="3E960509">
      <w:pPr>
        <w:numPr>
          <w:ilvl w:val="0"/>
          <w:numId w:val="0"/>
        </w:numPr>
        <w:wordWrap w:val="0"/>
        <w:spacing w:line="276" w:lineRule="auto"/>
        <w:ind w:leftChars="-6"/>
        <w:rPr>
          <w:rFonts w:hint="default" w:ascii="Times New Roman" w:hAnsi="Times New Roman" w:cs="Times New Roman" w:eastAsiaTheme="minorEastAsia"/>
          <w:sz w:val="24"/>
          <w:szCs w:val="24"/>
        </w:rPr>
      </w:pPr>
    </w:p>
    <w:p w14:paraId="34BACBD4">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2.</w:t>
      </w:r>
      <w:r>
        <w:rPr>
          <w:rFonts w:hint="default" w:ascii="Times New Roman" w:hAnsi="Times New Roman" w:cs="Times New Roman" w:eastAsiaTheme="minorEastAsia"/>
          <w:b/>
          <w:sz w:val="24"/>
          <w:szCs w:val="24"/>
        </w:rPr>
        <w:t>申办方的责任和义务</w:t>
      </w:r>
    </w:p>
    <w:p w14:paraId="7D2A64BF">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2.1</w:t>
      </w:r>
      <w:r>
        <w:rPr>
          <w:rFonts w:hint="default" w:ascii="Times New Roman" w:hAnsi="Times New Roman" w:cs="Times New Roman" w:eastAsiaTheme="minorEastAsia"/>
          <w:sz w:val="24"/>
          <w:szCs w:val="24"/>
        </w:rPr>
        <w:t>申办方无权干涉主要研究者对临床研究协调员的管理与工作安排；</w:t>
      </w:r>
    </w:p>
    <w:p w14:paraId="5E67E055">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2.2</w:t>
      </w:r>
      <w:r>
        <w:rPr>
          <w:rFonts w:hint="default" w:ascii="Times New Roman" w:hAnsi="Times New Roman" w:cs="Times New Roman" w:eastAsiaTheme="minorEastAsia"/>
          <w:sz w:val="24"/>
          <w:szCs w:val="24"/>
        </w:rPr>
        <w:t>申办方在本协议期间有权随时监督和检查服务方服务项目的进展及质量；</w:t>
      </w:r>
    </w:p>
    <w:p w14:paraId="3047BB46">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2.3</w:t>
      </w:r>
      <w:r>
        <w:rPr>
          <w:rFonts w:hint="default" w:ascii="Times New Roman" w:hAnsi="Times New Roman" w:cs="Times New Roman" w:eastAsiaTheme="minorEastAsia"/>
          <w:sz w:val="24"/>
          <w:szCs w:val="24"/>
        </w:rPr>
        <w:t>申办方应按时支付服务费；</w:t>
      </w:r>
    </w:p>
    <w:p w14:paraId="4AE84538">
      <w:pPr>
        <w:numPr>
          <w:ilvl w:val="1"/>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eastAsia="Times New Roman" w:cs="Times New Roman"/>
          <w:b w:val="0"/>
          <w:color w:val="auto"/>
          <w:sz w:val="24"/>
          <w:szCs w:val="24"/>
          <w:lang w:val="en-US" w:eastAsia="zh-CN" w:bidi="ar-SA"/>
        </w:rPr>
        <w:t>2.4</w:t>
      </w:r>
      <w:r>
        <w:rPr>
          <w:rFonts w:hint="default" w:ascii="Times New Roman" w:hAnsi="Times New Roman" w:cs="Times New Roman" w:eastAsiaTheme="minorEastAsia"/>
          <w:sz w:val="24"/>
          <w:szCs w:val="24"/>
        </w:rPr>
        <w:t>申办方须按照国家有关政策和GCP的要求，对项目进行专业有序的组织和规划，</w:t>
      </w:r>
      <w:r>
        <w:rPr>
          <w:rFonts w:hint="default" w:ascii="Times New Roman" w:hAnsi="Times New Roman" w:cs="Times New Roman" w:eastAsiaTheme="minorEastAsia"/>
          <w:color w:val="000000" w:themeColor="text1"/>
          <w:sz w:val="24"/>
          <w:szCs w:val="24"/>
          <w14:textFill>
            <w14:solidFill>
              <w14:schemeClr w14:val="tx1"/>
            </w14:solidFill>
          </w14:textFill>
        </w:rPr>
        <w:t>制定合理的研究方案，为研究机构提供有效的医学事务支持，制定合理的数据管理计划，应用高效的数据系统并有效执行，为项目配备充足的合格专业的临床监查员（简称“CRA”），所配备的CRA须经过充分培训，充分掌握项目有关知识技能，能积极履行CRA的职责，和研究者及CRC有效合作并给予相关培训与支持，对研究机构的需求及时进行反馈，及时帮助解决研究机构执行中遇到的问题。</w:t>
      </w:r>
    </w:p>
    <w:p w14:paraId="4BB4588C">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2.5</w:t>
      </w:r>
      <w:r>
        <w:rPr>
          <w:rFonts w:hint="default" w:ascii="Times New Roman" w:hAnsi="Times New Roman" w:cs="Times New Roman" w:eastAsiaTheme="minorEastAsia"/>
          <w:sz w:val="24"/>
          <w:szCs w:val="24"/>
        </w:rPr>
        <w:t>申办方承诺与服务方之间无利益冲突。</w:t>
      </w:r>
    </w:p>
    <w:p w14:paraId="60B5DF94">
      <w:pPr>
        <w:wordWrap w:val="0"/>
        <w:spacing w:line="276" w:lineRule="auto"/>
        <w:ind w:left="14" w:leftChars="0" w:hanging="14" w:hangingChars="6"/>
        <w:rPr>
          <w:rFonts w:hint="default" w:ascii="Times New Roman" w:hAnsi="Times New Roman" w:cs="Times New Roman" w:eastAsiaTheme="minorEastAsia"/>
          <w:color w:val="000000"/>
          <w:sz w:val="24"/>
          <w:szCs w:val="24"/>
        </w:rPr>
      </w:pPr>
    </w:p>
    <w:p w14:paraId="3C4F201C">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3.</w:t>
      </w:r>
      <w:r>
        <w:rPr>
          <w:rFonts w:hint="default" w:ascii="Times New Roman" w:hAnsi="Times New Roman" w:cs="Times New Roman" w:eastAsiaTheme="minorEastAsia"/>
          <w:b/>
          <w:sz w:val="24"/>
          <w:szCs w:val="24"/>
        </w:rPr>
        <w:t>研究机构的责任和义务</w:t>
      </w:r>
    </w:p>
    <w:p w14:paraId="428FA8DD">
      <w:pPr>
        <w:pStyle w:val="203"/>
        <w:numPr>
          <w:ilvl w:val="1"/>
          <w:numId w:val="0"/>
        </w:numPr>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3.1</w:t>
      </w:r>
      <w:r>
        <w:rPr>
          <w:rFonts w:hint="default" w:ascii="Times New Roman" w:hAnsi="Times New Roman" w:cs="Times New Roman" w:eastAsiaTheme="minorEastAsia"/>
          <w:sz w:val="24"/>
          <w:szCs w:val="24"/>
        </w:rPr>
        <w:t>研究机构有权对服务方派遣的CRC资质进行审核，如CRC资质不符合研究机构的要求或相关法律法规规定，研究机构有权要求服务方更换CRC，服务方必须全力配合。</w:t>
      </w:r>
    </w:p>
    <w:p w14:paraId="1C4E0632">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3.2</w:t>
      </w:r>
      <w:r>
        <w:rPr>
          <w:rFonts w:hint="default" w:ascii="Times New Roman" w:hAnsi="Times New Roman" w:cs="Times New Roman" w:eastAsiaTheme="minorEastAsia"/>
          <w:sz w:val="24"/>
          <w:szCs w:val="24"/>
        </w:rPr>
        <w:t>研究机构在本协议期间有权随时监督和检查服务方服务项目的进展及质量。</w:t>
      </w:r>
    </w:p>
    <w:p w14:paraId="4151C725">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3.3</w:t>
      </w:r>
      <w:r>
        <w:rPr>
          <w:rFonts w:hint="default" w:ascii="Times New Roman" w:hAnsi="Times New Roman" w:cs="Times New Roman" w:eastAsiaTheme="minorEastAsia"/>
          <w:sz w:val="24"/>
          <w:szCs w:val="24"/>
        </w:rPr>
        <w:t>研究机构应向服务方提供开展服务项目所必需的试验资料、材料和相关信息以推进本协议的顺利履行。</w:t>
      </w:r>
    </w:p>
    <w:p w14:paraId="79519CCC">
      <w:pPr>
        <w:wordWrap w:val="0"/>
        <w:spacing w:line="276" w:lineRule="auto"/>
        <w:ind w:left="14" w:leftChars="0" w:hanging="14" w:hangingChars="6"/>
        <w:rPr>
          <w:rFonts w:hint="default" w:ascii="Times New Roman" w:hAnsi="Times New Roman" w:cs="Times New Roman" w:eastAsiaTheme="minorEastAsia"/>
          <w:sz w:val="24"/>
          <w:szCs w:val="24"/>
        </w:rPr>
      </w:pPr>
    </w:p>
    <w:p w14:paraId="4AF92D74">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4.</w:t>
      </w:r>
      <w:r>
        <w:rPr>
          <w:rFonts w:hint="default" w:ascii="Times New Roman" w:hAnsi="Times New Roman" w:cs="Times New Roman" w:eastAsiaTheme="minorEastAsia"/>
          <w:b/>
          <w:sz w:val="24"/>
          <w:szCs w:val="24"/>
        </w:rPr>
        <w:t>服务方的责任和义务</w:t>
      </w:r>
    </w:p>
    <w:p w14:paraId="545191FB">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4.1</w:t>
      </w:r>
      <w:r>
        <w:rPr>
          <w:rFonts w:hint="default" w:ascii="Times New Roman" w:hAnsi="Times New Roman" w:cs="Times New Roman" w:eastAsiaTheme="minorEastAsia"/>
          <w:sz w:val="24"/>
          <w:szCs w:val="24"/>
        </w:rPr>
        <w:t>服务方承诺其具有履行CRC服务所必需的以及相关法律法规所要求的资质。服务方不因履行本协议而获得除收取本协议项下服务费外的任何与临床研究相关的利益（包括但不限于专利权、发表权等）。</w:t>
      </w:r>
    </w:p>
    <w:p w14:paraId="585A3807">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4.2</w:t>
      </w:r>
      <w:r>
        <w:rPr>
          <w:rFonts w:hint="default" w:ascii="Times New Roman" w:hAnsi="Times New Roman" w:cs="Times New Roman" w:eastAsiaTheme="minorEastAsia"/>
          <w:sz w:val="24"/>
          <w:szCs w:val="24"/>
        </w:rPr>
        <w:t>服务方在本协议下提供的服务人员必须符合以下基本条件：</w:t>
      </w:r>
    </w:p>
    <w:p w14:paraId="18244953">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医学、药学或护理等相关专业毕业；医学英文应用良好；具备一定的医院工作经验，熟悉医院工作环境及流程；良好的沟通技巧和团队协作精神；良好的学习能力、抗压能力及责任心。</w:t>
      </w:r>
    </w:p>
    <w:p w14:paraId="431DB464">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4.3</w:t>
      </w:r>
      <w:r>
        <w:rPr>
          <w:rFonts w:hint="default" w:ascii="Times New Roman" w:hAnsi="Times New Roman" w:cs="Times New Roman" w:eastAsiaTheme="minorEastAsia"/>
          <w:sz w:val="24"/>
          <w:szCs w:val="24"/>
        </w:rPr>
        <w:t>在本协议履行期限内，如服务方提供的服务人员不能胜任CRC服务，研究机构有权要求更换服务人员，并至少提前一个月通知服务方。服务方有义务在一个月的时间内提供新的候选人直至选拔到合格人选，服务方应保证在交接期间所提供的服务和质量不受影响。未经研究机构和研究者书面许可，服务方不得随意更换CRC。</w:t>
      </w:r>
    </w:p>
    <w:p w14:paraId="659E45DB">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4.4</w:t>
      </w:r>
      <w:r>
        <w:rPr>
          <w:rFonts w:hint="default" w:ascii="Times New Roman" w:hAnsi="Times New Roman" w:cs="Times New Roman" w:eastAsiaTheme="minorEastAsia"/>
          <w:sz w:val="24"/>
          <w:szCs w:val="24"/>
        </w:rPr>
        <w:t>服务方及其派遣的CRC在提供服务过程中，所接触到的患者健康信息、医疗信息等个人信息，必须按照主要研究者的要求处理，并遵循相关法律法规的要求保护患者隐私，不得以任何形式披露任何患者健康信息、医疗信息等个人信息。</w:t>
      </w:r>
    </w:p>
    <w:p w14:paraId="5FFF7E94">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4.5</w:t>
      </w:r>
      <w:r>
        <w:rPr>
          <w:rFonts w:hint="default" w:ascii="Times New Roman" w:hAnsi="Times New Roman" w:cs="Times New Roman" w:eastAsiaTheme="minorEastAsia"/>
          <w:sz w:val="24"/>
          <w:szCs w:val="24"/>
        </w:rPr>
        <w:t>服务方应负责所有服务人员的工资、福利及社会保险等一切事宜。CRC与申办方、研究机构以及主要研究者均不存在劳动关系、劳务派遣关系。如申办方和研究机构因CRC过错而遭受损失的，服务方应向申办方和研究机构承担相应的赔偿责任。</w:t>
      </w:r>
    </w:p>
    <w:p w14:paraId="67A7D612">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4.6</w:t>
      </w:r>
      <w:r>
        <w:rPr>
          <w:rFonts w:hint="default" w:ascii="Times New Roman" w:hAnsi="Times New Roman" w:cs="Times New Roman" w:eastAsiaTheme="minorEastAsia"/>
          <w:sz w:val="24"/>
          <w:szCs w:val="24"/>
        </w:rPr>
        <w:t>未经其他两方事先书面同意，服务方不得将其在本协议项下的权利或义务转包或分包给任何其他方。</w:t>
      </w:r>
    </w:p>
    <w:p w14:paraId="2CCC565E">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4.7</w:t>
      </w:r>
      <w:r>
        <w:rPr>
          <w:rFonts w:hint="default" w:ascii="Times New Roman" w:hAnsi="Times New Roman" w:cs="Times New Roman" w:eastAsiaTheme="minorEastAsia"/>
          <w:sz w:val="24"/>
          <w:szCs w:val="24"/>
        </w:rPr>
        <w:t>由于服务方或其派遣的CRC的故意、过失、过错或违约（包括但不限于未遵守适用法律、本协议、研究方案、申办方或研究机构或研究者提出的指示或规定，没有严格按照研究方案进行或违反了常规操作、泄露保密信息等）对第三方（例如：病人）造成或引起的伤害、损失、主张及费用，将由服务方承担相应责任。</w:t>
      </w:r>
    </w:p>
    <w:p w14:paraId="361A2838">
      <w:pPr>
        <w:wordWrap w:val="0"/>
        <w:spacing w:line="276" w:lineRule="auto"/>
        <w:ind w:left="14" w:leftChars="0" w:hanging="14" w:hangingChars="6"/>
        <w:rPr>
          <w:rFonts w:hint="default" w:ascii="Times New Roman" w:hAnsi="Times New Roman" w:cs="Times New Roman" w:eastAsiaTheme="minorEastAsia"/>
          <w:b/>
          <w:sz w:val="24"/>
          <w:szCs w:val="24"/>
        </w:rPr>
      </w:pPr>
    </w:p>
    <w:p w14:paraId="2485BE8B">
      <w:pPr>
        <w:pStyle w:val="203"/>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5.</w:t>
      </w:r>
      <w:r>
        <w:rPr>
          <w:rFonts w:hint="default" w:ascii="Times New Roman" w:hAnsi="Times New Roman" w:cs="Times New Roman" w:eastAsiaTheme="minorEastAsia"/>
          <w:b/>
          <w:sz w:val="24"/>
          <w:szCs w:val="24"/>
        </w:rPr>
        <w:t>付款</w:t>
      </w:r>
    </w:p>
    <w:p w14:paraId="39EB97F0">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5.1</w:t>
      </w:r>
      <w:r>
        <w:rPr>
          <w:rFonts w:hint="default" w:ascii="Times New Roman" w:hAnsi="Times New Roman" w:cs="Times New Roman" w:eastAsiaTheme="minorEastAsia"/>
          <w:sz w:val="24"/>
          <w:szCs w:val="24"/>
        </w:rPr>
        <w:t>有关服务费的具体支付事宜，由申办方和服务方另行约定，研究机构对此予以认可。</w:t>
      </w:r>
    </w:p>
    <w:p w14:paraId="1E30A9EE">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5.2</w:t>
      </w:r>
      <w:r>
        <w:rPr>
          <w:rFonts w:hint="default" w:ascii="Times New Roman" w:hAnsi="Times New Roman" w:cs="Times New Roman" w:eastAsiaTheme="minorEastAsia"/>
          <w:sz w:val="24"/>
          <w:szCs w:val="24"/>
        </w:rPr>
        <w:t>如果申办方未能按时向服务方付款，超过30天仍未支付的，服务方催告申办方一次，自申办方收到催告之日起七个工作日未做表示的，服务方有权暂停提供服务。</w:t>
      </w:r>
    </w:p>
    <w:p w14:paraId="34F24A0F">
      <w:pPr>
        <w:wordWrap w:val="0"/>
        <w:spacing w:line="276" w:lineRule="auto"/>
        <w:ind w:left="14" w:leftChars="0" w:hanging="14" w:hangingChars="6"/>
        <w:rPr>
          <w:rFonts w:hint="default" w:ascii="Times New Roman" w:hAnsi="Times New Roman" w:cs="Times New Roman" w:eastAsiaTheme="minorEastAsia"/>
          <w:sz w:val="24"/>
          <w:szCs w:val="24"/>
        </w:rPr>
      </w:pPr>
    </w:p>
    <w:p w14:paraId="4E100315">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6.</w:t>
      </w:r>
      <w:r>
        <w:rPr>
          <w:rFonts w:hint="default" w:ascii="Times New Roman" w:hAnsi="Times New Roman" w:cs="Times New Roman" w:eastAsiaTheme="minorEastAsia"/>
          <w:b/>
          <w:sz w:val="24"/>
          <w:szCs w:val="24"/>
        </w:rPr>
        <w:t>数据的所有权</w:t>
      </w:r>
    </w:p>
    <w:p w14:paraId="57530A1B">
      <w:pPr>
        <w:tabs>
          <w:tab w:val="left" w:pos="426"/>
        </w:tabs>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所有由申办方提供给研究机构的数据、文档和信息，或由申办方提供给研究机构并由研究机构提供给服务方的数据、文档和信息，以及研究机构及服务方在临床研究期间获得的所有病例报告表和其他资料（包括但不限于书面的、打印的、图片的、多媒体材料和计算机数据库或计算机可阅读形式中包含的信息），其所有权和知识产权只属于申办方。未经甲方事先书面许可，研究机构和服务方不得擅自使用或者转让给第三方，也不得对任何第三方披露。</w:t>
      </w:r>
    </w:p>
    <w:p w14:paraId="45CD8922">
      <w:pPr>
        <w:tabs>
          <w:tab w:val="left" w:pos="426"/>
        </w:tabs>
        <w:wordWrap w:val="0"/>
        <w:spacing w:line="276" w:lineRule="auto"/>
        <w:ind w:left="14" w:leftChars="0" w:hanging="14" w:hangingChars="6"/>
        <w:rPr>
          <w:rFonts w:hint="default" w:ascii="Times New Roman" w:hAnsi="Times New Roman" w:cs="Times New Roman" w:eastAsiaTheme="minorEastAsia"/>
          <w:sz w:val="24"/>
          <w:szCs w:val="24"/>
        </w:rPr>
      </w:pPr>
    </w:p>
    <w:p w14:paraId="7912BA7C">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7.</w:t>
      </w:r>
      <w:r>
        <w:rPr>
          <w:rFonts w:hint="default" w:ascii="Times New Roman" w:hAnsi="Times New Roman" w:cs="Times New Roman" w:eastAsiaTheme="minorEastAsia"/>
          <w:b/>
          <w:sz w:val="24"/>
          <w:szCs w:val="24"/>
        </w:rPr>
        <w:t>保密</w:t>
      </w:r>
    </w:p>
    <w:p w14:paraId="5E891EC8">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7.1</w:t>
      </w:r>
      <w:r>
        <w:rPr>
          <w:rFonts w:hint="default" w:ascii="Times New Roman" w:hAnsi="Times New Roman" w:cs="Times New Roman" w:eastAsiaTheme="minorEastAsia"/>
          <w:sz w:val="24"/>
          <w:szCs w:val="24"/>
        </w:rPr>
        <w:t>本协议任何一方（“接收方”）对于其从其他方（“披露方”）获取或知悉的任何可被合理认为具有保密性的信息（以下统称“保密信息”），包括但不限于技术资料、研究报告、产品信息等，均需予以严格保密。本协议的存在以及其条款（特别是协议金额及技术指标等信息）亦属于保密信息。“保密信息”不得包含以下信息：（1）接收方有证据证明在披露方向其披露信息之前已获得或知晓的信息；（2）不是因为接收方的误操作或错误而让公众知晓的信息；（3）接收方以正当合理途径从其他无保密义务的其他方处得知的信息；和（4）接收方独立开发的信息。</w:t>
      </w:r>
    </w:p>
    <w:p w14:paraId="4D6EC2AF">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7.2</w:t>
      </w:r>
      <w:r>
        <w:rPr>
          <w:rFonts w:hint="default" w:ascii="Times New Roman" w:hAnsi="Times New Roman" w:cs="Times New Roman" w:eastAsiaTheme="minorEastAsia"/>
          <w:sz w:val="24"/>
          <w:szCs w:val="24"/>
        </w:rPr>
        <w:t>各方同意，除非获得披露方事先书面同意，接收方：（i）不得将保密信息用于除履行本协议目的以外其他用途；且（ii）不将任何保密信息披露给任何其他方，除非（A）为履行本协议的目的，向有必要获知保密信息并且已经妥为签署保密义务的雇员，或者接收方的代理、代表、律师、顾问和其他有必要知道信息的咨询方；和（B）政府机构、司法程序、证券交易所或相关法律要求的检查、披露或其他活动；但上述披露的范围应控制在必要限度的范围内。接收方同意采取任何可行的措施保护保密信息的保密性，程度不得低于其对自身保密内容或同样性质内容的保护，并避免泄露和非授权使用。</w:t>
      </w:r>
    </w:p>
    <w:p w14:paraId="2D2FA039">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C00000"/>
          <w:sz w:val="24"/>
          <w:szCs w:val="24"/>
          <w:lang w:val="en-US" w:eastAsia="zh-CN" w:bidi="ar-SA"/>
        </w:rPr>
        <w:t>7.3</w:t>
      </w:r>
      <w:r>
        <w:rPr>
          <w:rFonts w:hint="default" w:ascii="Times New Roman" w:hAnsi="Times New Roman" w:cs="Times New Roman" w:eastAsiaTheme="minorEastAsia"/>
          <w:color w:val="C00000"/>
          <w:sz w:val="24"/>
          <w:szCs w:val="24"/>
        </w:rPr>
        <w:t>保密期限为在本协议</w:t>
      </w:r>
      <w:r>
        <w:rPr>
          <w:rFonts w:hint="eastAsia" w:ascii="宋体" w:hAnsi="宋体"/>
          <w:color w:val="C00000"/>
          <w:sz w:val="24"/>
          <w:szCs w:val="32"/>
          <w:highlight w:val="none"/>
        </w:rPr>
        <w:t>生效之日起至协议</w:t>
      </w:r>
      <w:r>
        <w:rPr>
          <w:rFonts w:hint="eastAsia" w:ascii="宋体" w:hAnsi="宋体"/>
          <w:color w:val="C00000"/>
          <w:sz w:val="24"/>
          <w:szCs w:val="32"/>
          <w:highlight w:val="none"/>
          <w:lang w:eastAsia="zh-CN"/>
        </w:rPr>
        <w:t>中止、</w:t>
      </w:r>
      <w:r>
        <w:rPr>
          <w:rFonts w:hint="eastAsia" w:ascii="宋体" w:hAnsi="宋体"/>
          <w:color w:val="C00000"/>
          <w:sz w:val="24"/>
          <w:szCs w:val="32"/>
          <w:highlight w:val="none"/>
        </w:rPr>
        <w:t>终止后</w:t>
      </w:r>
      <w:r>
        <w:rPr>
          <w:rFonts w:hint="eastAsia" w:ascii="宋体" w:hAnsi="宋体"/>
          <w:color w:val="C00000"/>
          <w:sz w:val="24"/>
          <w:szCs w:val="32"/>
          <w:highlight w:val="none"/>
          <w:lang w:eastAsia="zh-CN"/>
        </w:rPr>
        <w:t>五</w:t>
      </w:r>
      <w:r>
        <w:rPr>
          <w:rFonts w:hint="eastAsia" w:ascii="宋体" w:hAnsi="宋体"/>
          <w:color w:val="C00000"/>
          <w:sz w:val="24"/>
          <w:szCs w:val="32"/>
          <w:highlight w:val="none"/>
        </w:rPr>
        <w:t>年</w:t>
      </w:r>
      <w:r>
        <w:rPr>
          <w:rFonts w:hint="eastAsia" w:ascii="宋体" w:hAnsi="宋体"/>
          <w:color w:val="C00000"/>
          <w:sz w:val="24"/>
          <w:szCs w:val="32"/>
          <w:highlight w:val="none"/>
          <w:lang w:eastAsia="zh-CN"/>
        </w:rPr>
        <w:t>，</w:t>
      </w:r>
      <w:r>
        <w:rPr>
          <w:rFonts w:hint="default" w:ascii="Times New Roman" w:hAnsi="Times New Roman" w:cs="Times New Roman" w:eastAsiaTheme="minorEastAsia"/>
          <w:color w:val="C00000"/>
          <w:sz w:val="24"/>
          <w:szCs w:val="24"/>
        </w:rPr>
        <w:t>及药品上市后五年。</w:t>
      </w:r>
    </w:p>
    <w:p w14:paraId="1EB1A9A9">
      <w:pPr>
        <w:wordWrap w:val="0"/>
        <w:spacing w:line="276" w:lineRule="auto"/>
        <w:ind w:left="14" w:leftChars="0" w:hanging="14" w:hangingChars="6"/>
        <w:rPr>
          <w:rFonts w:hint="default" w:ascii="Times New Roman" w:hAnsi="Times New Roman" w:cs="Times New Roman" w:eastAsiaTheme="minorEastAsia"/>
          <w:sz w:val="24"/>
          <w:szCs w:val="24"/>
        </w:rPr>
      </w:pPr>
    </w:p>
    <w:p w14:paraId="20C67191">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8.</w:t>
      </w:r>
      <w:r>
        <w:rPr>
          <w:rFonts w:hint="default" w:ascii="Times New Roman" w:hAnsi="Times New Roman" w:cs="Times New Roman" w:eastAsiaTheme="minorEastAsia"/>
          <w:b/>
          <w:sz w:val="24"/>
          <w:szCs w:val="24"/>
        </w:rPr>
        <w:t>合规约定</w:t>
      </w:r>
    </w:p>
    <w:p w14:paraId="088DCBAC">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8.1</w:t>
      </w:r>
      <w:r>
        <w:rPr>
          <w:rFonts w:hint="default" w:ascii="Times New Roman" w:hAnsi="Times New Roman" w:cs="Times New Roman" w:eastAsiaTheme="minorEastAsia"/>
          <w:sz w:val="24"/>
          <w:szCs w:val="24"/>
        </w:rPr>
        <w:t>本协议一方向其他方陈述和保证：</w:t>
      </w:r>
    </w:p>
    <w:p w14:paraId="228B51A8">
      <w:pPr>
        <w:numPr>
          <w:ilvl w:val="2"/>
          <w:numId w:val="0"/>
        </w:numPr>
        <w:wordWrap w:val="0"/>
        <w:spacing w:line="276" w:lineRule="auto"/>
        <w:ind w:left="16" w:leftChars="0" w:hanging="16" w:hangingChars="7"/>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lang w:val="en-US" w:eastAsia="zh-CN" w:bidi="ar-SA"/>
        </w:rPr>
        <w:t>8.1.1</w:t>
      </w:r>
      <w:r>
        <w:rPr>
          <w:rFonts w:hint="default" w:ascii="Times New Roman" w:hAnsi="Times New Roman" w:cs="Times New Roman" w:eastAsiaTheme="minorEastAsia"/>
          <w:sz w:val="24"/>
          <w:szCs w:val="24"/>
        </w:rPr>
        <w:t>该方或者其关联公司在洽谈以及促成本协议签署过程中未出现任何违反适用的法律法规的行为，特别是《中华人民共和国刑法》、《中华人民共和国反不正当竞争法》中关于禁止贿赂的规定等；</w:t>
      </w:r>
    </w:p>
    <w:p w14:paraId="55C85E71">
      <w:pPr>
        <w:numPr>
          <w:ilvl w:val="2"/>
          <w:numId w:val="0"/>
        </w:numPr>
        <w:wordWrap w:val="0"/>
        <w:spacing w:line="276" w:lineRule="auto"/>
        <w:ind w:left="16" w:leftChars="0" w:hanging="16" w:hangingChars="7"/>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lang w:val="en-US" w:eastAsia="zh-CN" w:bidi="ar-SA"/>
        </w:rPr>
        <w:t>8.1.2</w:t>
      </w:r>
      <w:r>
        <w:rPr>
          <w:rFonts w:hint="default" w:ascii="Times New Roman" w:hAnsi="Times New Roman" w:cs="Times New Roman" w:eastAsiaTheme="minorEastAsia"/>
          <w:sz w:val="24"/>
          <w:szCs w:val="24"/>
        </w:rPr>
        <w:t>该方保证遵守，并且确保可能参与本协议的其关联公司在履行本协议过程中严格遵守适用的全部法律法规；</w:t>
      </w:r>
    </w:p>
    <w:p w14:paraId="02DBE8AD">
      <w:pPr>
        <w:numPr>
          <w:ilvl w:val="2"/>
          <w:numId w:val="0"/>
        </w:numPr>
        <w:wordWrap w:val="0"/>
        <w:spacing w:line="276" w:lineRule="auto"/>
        <w:ind w:left="16" w:leftChars="0" w:hanging="16" w:hangingChars="7"/>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lang w:val="en-US" w:eastAsia="zh-CN" w:bidi="ar-SA"/>
        </w:rPr>
        <w:t>8.1.3</w:t>
      </w:r>
      <w:r>
        <w:rPr>
          <w:rFonts w:hint="default" w:ascii="Times New Roman" w:hAnsi="Times New Roman" w:cs="Times New Roman" w:eastAsiaTheme="minorEastAsia"/>
          <w:sz w:val="24"/>
          <w:szCs w:val="24"/>
        </w:rPr>
        <w:t>如知悉有任何违反本条款的行为，或者得知其自身或者其关联公司受到监管机构的调查，该方应立即通知其他方；</w:t>
      </w:r>
    </w:p>
    <w:p w14:paraId="4979DD3C">
      <w:pPr>
        <w:numPr>
          <w:ilvl w:val="2"/>
          <w:numId w:val="0"/>
        </w:numPr>
        <w:wordWrap w:val="0"/>
        <w:spacing w:line="276" w:lineRule="auto"/>
        <w:ind w:left="16" w:leftChars="0" w:hanging="16" w:hangingChars="7"/>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lang w:val="en-US" w:eastAsia="zh-CN" w:bidi="ar-SA"/>
        </w:rPr>
        <w:t>8.1.4</w:t>
      </w:r>
      <w:r>
        <w:rPr>
          <w:rFonts w:hint="default" w:ascii="Times New Roman" w:hAnsi="Times New Roman" w:cs="Times New Roman" w:eastAsiaTheme="minorEastAsia"/>
          <w:sz w:val="24"/>
          <w:szCs w:val="24"/>
        </w:rPr>
        <w:t>该方将确保如实且准确记录本协议项下所有交易的重大方面，并且同意其他方有权在合理地事先通知后审计有关的记录及相关支持文件，以确保其遵守本条规定。</w:t>
      </w:r>
    </w:p>
    <w:p w14:paraId="07861785">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8.2</w:t>
      </w:r>
      <w:r>
        <w:rPr>
          <w:rFonts w:hint="default" w:ascii="Times New Roman" w:hAnsi="Times New Roman" w:cs="Times New Roman" w:eastAsiaTheme="minorEastAsia"/>
          <w:color w:val="000000"/>
          <w:sz w:val="24"/>
          <w:szCs w:val="24"/>
        </w:rPr>
        <w:t>对于涉及中国人类遗传资源的项目，申办方需确保项目符合中国人类遗传资源管理办公室规定及相关法律法规的要求，如需要取得中国人类遗传资源管理办公室相关批件或其他法律法规要求的批文的，申办方应取得相关批件并发送给服务方备份存档，否则服务方有权暂停或拒绝提供服务。在获得中国人类遗传资源管理办公室批准之前，服务方员工（包括但不限于CRC）不得协助研究者进行人类遗传资源（包括实体样本和相关信息）的收集和处理，在获得中国人类遗传资源管理办公室批准和公示后方可在授权范围内协助研究者进行相关工作。</w:t>
      </w:r>
    </w:p>
    <w:p w14:paraId="02BDFCCF">
      <w:pPr>
        <w:numPr>
          <w:ilvl w:val="0"/>
          <w:numId w:val="0"/>
        </w:numPr>
        <w:wordWrap w:val="0"/>
        <w:spacing w:line="276" w:lineRule="auto"/>
        <w:ind w:leftChars="-6"/>
        <w:rPr>
          <w:rFonts w:hint="default" w:ascii="Times New Roman" w:hAnsi="Times New Roman" w:cs="Times New Roman" w:eastAsiaTheme="minorEastAsia"/>
          <w:sz w:val="24"/>
          <w:szCs w:val="24"/>
        </w:rPr>
      </w:pPr>
    </w:p>
    <w:p w14:paraId="3E40F0CE">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9.</w:t>
      </w:r>
      <w:r>
        <w:rPr>
          <w:rFonts w:hint="default" w:ascii="Times New Roman" w:hAnsi="Times New Roman" w:cs="Times New Roman" w:eastAsiaTheme="minorEastAsia"/>
          <w:b/>
          <w:sz w:val="24"/>
          <w:szCs w:val="24"/>
        </w:rPr>
        <w:t>赔偿</w:t>
      </w:r>
    </w:p>
    <w:p w14:paraId="57EFB8C1">
      <w:pPr>
        <w:tabs>
          <w:tab w:val="left" w:pos="426"/>
        </w:tabs>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方（“赔偿方”）应保护、赔偿并保证其他方（“受偿方”）以及其附属机构及其高级职员、董事、员工和代理免于因其他方基于以下事由而提起的索赔、诉讼、程序、或要求（统称“索赔”）而承担任何责任或者遭受损失：（1）因赔偿方的陈述不真实、不准确或者不完整，或者赔偿方实质性违反本协议下的任何保证；（2）因该赔偿方实质性违反本协议约定。</w:t>
      </w:r>
    </w:p>
    <w:p w14:paraId="57399AF7">
      <w:pPr>
        <w:tabs>
          <w:tab w:val="left" w:pos="426"/>
        </w:tabs>
        <w:wordWrap w:val="0"/>
        <w:spacing w:line="276" w:lineRule="auto"/>
        <w:ind w:left="14" w:leftChars="0" w:hanging="14" w:hangingChars="6"/>
        <w:rPr>
          <w:rFonts w:hint="default" w:ascii="Times New Roman" w:hAnsi="Times New Roman" w:cs="Times New Roman" w:eastAsiaTheme="minorEastAsia"/>
          <w:sz w:val="24"/>
          <w:szCs w:val="24"/>
        </w:rPr>
      </w:pPr>
    </w:p>
    <w:p w14:paraId="228FA320">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10.</w:t>
      </w:r>
      <w:r>
        <w:rPr>
          <w:rFonts w:hint="default" w:ascii="Times New Roman" w:hAnsi="Times New Roman" w:cs="Times New Roman" w:eastAsiaTheme="minorEastAsia"/>
          <w:b/>
          <w:sz w:val="24"/>
          <w:szCs w:val="24"/>
        </w:rPr>
        <w:t>违约责任</w:t>
      </w:r>
    </w:p>
    <w:p w14:paraId="7B71C263">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10.1</w:t>
      </w:r>
      <w:r>
        <w:rPr>
          <w:rFonts w:hint="default" w:ascii="Times New Roman" w:hAnsi="Times New Roman" w:cs="Times New Roman" w:eastAsiaTheme="minorEastAsia"/>
          <w:sz w:val="24"/>
          <w:szCs w:val="24"/>
        </w:rPr>
        <w:t>任何一方违反本协议项下所作的任何一项约定或未履行本协议项下任何一项义务的行为均构成违约，守约方有权要求违约方在合理期限内补正或采取补救措施，并有权要求违约方赔偿其违约行为给守约方造成的损失和费用。</w:t>
      </w:r>
    </w:p>
    <w:p w14:paraId="6F045960">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10.2</w:t>
      </w:r>
      <w:r>
        <w:rPr>
          <w:rFonts w:hint="default" w:ascii="Times New Roman" w:hAnsi="Times New Roman" w:cs="Times New Roman" w:eastAsiaTheme="minorEastAsia"/>
          <w:sz w:val="24"/>
          <w:szCs w:val="24"/>
        </w:rPr>
        <w:t>基于3.1条，服务方未按照研究机构要求更换CRC的，研究机构或申办方均有权要求服务方承担违约责任，违约责任计算依据为：按照</w:t>
      </w:r>
      <w:bookmarkStart w:id="2" w:name="OLE_LINK5"/>
      <w:r>
        <w:rPr>
          <w:rFonts w:hint="default" w:ascii="Times New Roman" w:hAnsi="Times New Roman" w:cs="Times New Roman" w:eastAsiaTheme="minorEastAsia"/>
          <w:sz w:val="24"/>
          <w:szCs w:val="24"/>
        </w:rPr>
        <w:t>申办者与服务方签署的</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sz w:val="24"/>
          <w:szCs w:val="24"/>
        </w:rPr>
        <w:t>临床研究协调员服务协议</w:t>
      </w:r>
      <w:r>
        <w:rPr>
          <w:rFonts w:hint="default" w:ascii="Times New Roman" w:hAnsi="Times New Roman" w:cs="Times New Roman" w:eastAsiaTheme="minorEastAsia"/>
          <w:color w:val="auto"/>
          <w:sz w:val="24"/>
          <w:szCs w:val="24"/>
          <w:highlight w:val="none"/>
        </w:rPr>
        <w:t>》</w:t>
      </w:r>
      <w:bookmarkEnd w:id="2"/>
      <w:r>
        <w:rPr>
          <w:rFonts w:hint="default" w:ascii="Times New Roman" w:hAnsi="Times New Roman" w:cs="Times New Roman" w:eastAsiaTheme="minorEastAsia"/>
          <w:color w:val="auto"/>
          <w:sz w:val="24"/>
          <w:szCs w:val="24"/>
          <w:highlight w:val="none"/>
        </w:rPr>
        <w:t>承担违约责任</w:t>
      </w:r>
      <w:r>
        <w:rPr>
          <w:rFonts w:hint="default" w:ascii="Times New Roman" w:hAnsi="Times New Roman" w:cs="Times New Roman" w:eastAsiaTheme="minorEastAsia"/>
          <w:sz w:val="24"/>
          <w:szCs w:val="24"/>
        </w:rPr>
        <w:t>。</w:t>
      </w:r>
    </w:p>
    <w:p w14:paraId="563B3FE8">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10.3</w:t>
      </w:r>
      <w:r>
        <w:rPr>
          <w:rFonts w:hint="default" w:ascii="Times New Roman" w:hAnsi="Times New Roman" w:cs="Times New Roman" w:eastAsiaTheme="minorEastAsia"/>
          <w:sz w:val="24"/>
          <w:szCs w:val="24"/>
        </w:rPr>
        <w:t>如任何一方实质性地违反本协议项下所作的任何一项约定，或实质性地未履行本协议项下的任何一项义务，且违约方在合理期限内或在守约方书面通知违约方并提出补正要求后三十天内仍未补正或采取补救措施的，则守约方有权经书面通知立即终止本协议，并要求违约方给予全部的损害赔偿。</w:t>
      </w:r>
    </w:p>
    <w:p w14:paraId="3A0F8F82">
      <w:pPr>
        <w:numPr>
          <w:ilvl w:val="255"/>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如因服务方单方原因，导致项目迟滞影响申报进程或项目终止，本协议未明确约定具体违约责任的，参照双方签订的</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sz w:val="24"/>
          <w:szCs w:val="24"/>
        </w:rPr>
        <w:t>临床研究协调员服务协议</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sz w:val="24"/>
          <w:szCs w:val="24"/>
        </w:rPr>
        <w:t>进行补救、赔偿、支付违约金。</w:t>
      </w:r>
    </w:p>
    <w:p w14:paraId="04453C3A">
      <w:pPr>
        <w:wordWrap w:val="0"/>
        <w:spacing w:line="276" w:lineRule="auto"/>
        <w:ind w:left="14" w:leftChars="0" w:hanging="14" w:hangingChars="6"/>
        <w:rPr>
          <w:rFonts w:hint="default" w:ascii="Times New Roman" w:hAnsi="Times New Roman" w:cs="Times New Roman" w:eastAsiaTheme="minorEastAsia"/>
          <w:sz w:val="24"/>
          <w:szCs w:val="24"/>
        </w:rPr>
      </w:pPr>
    </w:p>
    <w:p w14:paraId="6F242023">
      <w:pPr>
        <w:numPr>
          <w:ilvl w:val="0"/>
          <w:numId w:val="0"/>
        </w:numPr>
        <w:wordWrap w:val="0"/>
        <w:spacing w:line="276" w:lineRule="auto"/>
        <w:ind w:left="14" w:leftChars="0" w:hanging="14" w:hangingChars="6"/>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bidi="ar-SA"/>
        </w:rPr>
        <w:t>11.</w:t>
      </w:r>
      <w:r>
        <w:rPr>
          <w:rFonts w:hint="default" w:ascii="Times New Roman" w:hAnsi="Times New Roman" w:cs="Times New Roman" w:eastAsiaTheme="minorEastAsia"/>
          <w:b/>
          <w:sz w:val="24"/>
          <w:szCs w:val="24"/>
        </w:rPr>
        <w:t>其他条款</w:t>
      </w:r>
    </w:p>
    <w:p w14:paraId="57F1CFD9">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11.1</w:t>
      </w:r>
      <w:r>
        <w:rPr>
          <w:rFonts w:hint="default" w:ascii="Times New Roman" w:hAnsi="Times New Roman" w:cs="Times New Roman" w:eastAsiaTheme="minorEastAsia"/>
          <w:sz w:val="24"/>
          <w:szCs w:val="24"/>
        </w:rPr>
        <w:t>完整协议</w:t>
      </w:r>
    </w:p>
    <w:p w14:paraId="72BF8D2C">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本协议构成各方就题述事项的全部协议。未经各方书面确认，本协议的条款不得被视为放弃或被修订。</w:t>
      </w:r>
    </w:p>
    <w:p w14:paraId="0F9D17A2">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申办者与服务方其他未尽事宜，参考双方签署的《临床研究协调员服务协议</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执行。</w:t>
      </w:r>
    </w:p>
    <w:p w14:paraId="18A0678A">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11.2</w:t>
      </w:r>
      <w:r>
        <w:rPr>
          <w:rFonts w:hint="default" w:ascii="Times New Roman" w:hAnsi="Times New Roman" w:cs="Times New Roman" w:eastAsiaTheme="minorEastAsia"/>
          <w:sz w:val="24"/>
          <w:szCs w:val="24"/>
        </w:rPr>
        <w:t>通知</w:t>
      </w:r>
    </w:p>
    <w:p w14:paraId="5CB0C9C3">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根据本协议发出的所有通知或函件应当以书面形式发送至本协议首页所列地址或者一方以书面方式通知的其他地址。</w:t>
      </w:r>
    </w:p>
    <w:p w14:paraId="05391343">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如以邮寄形式发出，在发出后三（3）日视为送达；</w:t>
      </w:r>
    </w:p>
    <w:p w14:paraId="79A4A783">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如以专人递送，则在送交当日视为送达。</w:t>
      </w:r>
    </w:p>
    <w:p w14:paraId="3CBB32F1">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11.3</w:t>
      </w:r>
      <w:r>
        <w:rPr>
          <w:rFonts w:hint="default" w:ascii="Times New Roman" w:hAnsi="Times New Roman" w:cs="Times New Roman" w:eastAsiaTheme="minorEastAsia"/>
          <w:sz w:val="24"/>
          <w:szCs w:val="24"/>
        </w:rPr>
        <w:t>协议的效力</w:t>
      </w:r>
    </w:p>
    <w:p w14:paraId="749E262F">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如果本协议中的任何条款无论因何种原因完全或部分无效或不具有执行力，或违反任何适用的法律，不影响本协议的其余条款的效力，其余条款仍然有效并且对各方均有约束力。</w:t>
      </w:r>
    </w:p>
    <w:p w14:paraId="4EBC740B">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合同期内，</w:t>
      </w:r>
      <w:bookmarkStart w:id="3" w:name="OLE_LINK1"/>
      <w:r>
        <w:rPr>
          <w:rFonts w:hint="default" w:ascii="Times New Roman" w:hAnsi="Times New Roman" w:cs="Times New Roman" w:eastAsiaTheme="minorEastAsia"/>
          <w:sz w:val="24"/>
          <w:szCs w:val="24"/>
        </w:rPr>
        <w:t>申办方</w:t>
      </w:r>
      <w:bookmarkEnd w:id="3"/>
      <w:r>
        <w:rPr>
          <w:rFonts w:hint="default" w:ascii="Times New Roman" w:hAnsi="Times New Roman" w:cs="Times New Roman" w:eastAsiaTheme="minorEastAsia"/>
          <w:sz w:val="24"/>
          <w:szCs w:val="24"/>
        </w:rPr>
        <w:t>享有任意解除权，但申办方必须提前30天通知乙丙两方，项目款项据已经申办方确认合格并继续使用的工作量据实结算。申办方不因行使该任意解除权，承担任何违约或赔偿责任。</w:t>
      </w:r>
    </w:p>
    <w:p w14:paraId="722BC2B8">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11.4</w:t>
      </w:r>
      <w:r>
        <w:rPr>
          <w:rFonts w:hint="default" w:ascii="Times New Roman" w:hAnsi="Times New Roman" w:cs="Times New Roman" w:eastAsiaTheme="minorEastAsia"/>
          <w:sz w:val="24"/>
          <w:szCs w:val="24"/>
        </w:rPr>
        <w:t>适用法律和争议解决</w:t>
      </w:r>
    </w:p>
    <w:p w14:paraId="13DA118B">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本协议适用中国法律。因本协议产生的争议应当由各方友好协商解决。如该争议在一方向另一方发出要求协商的书面通知后三十（30）日内仍未解决，任一方可将争议提交</w:t>
      </w:r>
      <w:r>
        <w:rPr>
          <w:rFonts w:hint="default" w:ascii="Times New Roman" w:hAnsi="Times New Roman" w:cs="Times New Roman" w:eastAsiaTheme="minorEastAsia"/>
          <w:sz w:val="24"/>
          <w:szCs w:val="24"/>
          <w:lang w:eastAsia="zh-CN"/>
        </w:rPr>
        <w:t>乙</w:t>
      </w:r>
      <w:r>
        <w:rPr>
          <w:rFonts w:hint="default" w:ascii="Times New Roman" w:hAnsi="Times New Roman" w:cs="Times New Roman" w:eastAsiaTheme="minorEastAsia"/>
          <w:sz w:val="24"/>
          <w:szCs w:val="24"/>
        </w:rPr>
        <w:t>方所在地有管辖权法院诉讼解决。</w:t>
      </w:r>
    </w:p>
    <w:p w14:paraId="2FDFCF59">
      <w:p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在本协议期内及本协议终止后，非经一方事先书面同意，其他方不得在任何广告、宣传或其他公开声明或文件中提及该方名称。</w:t>
      </w:r>
    </w:p>
    <w:p w14:paraId="3822589B">
      <w:pPr>
        <w:numPr>
          <w:ilvl w:val="1"/>
          <w:numId w:val="0"/>
        </w:numPr>
        <w:wordWrap w:val="0"/>
        <w:spacing w:line="276" w:lineRule="auto"/>
        <w:ind w:left="14" w:leftChars="0" w:hanging="14" w:hangingChars="6"/>
        <w:rPr>
          <w:rFonts w:hint="default" w:ascii="Times New Roman" w:hAnsi="Times New Roman" w:cs="Times New Roman" w:eastAsiaTheme="minorEastAsia"/>
          <w:sz w:val="24"/>
          <w:szCs w:val="24"/>
        </w:rPr>
      </w:pPr>
      <w:r>
        <w:rPr>
          <w:rFonts w:hint="default" w:ascii="Times New Roman" w:hAnsi="Times New Roman" w:eastAsia="Times New Roman" w:cs="Times New Roman"/>
          <w:b w:val="0"/>
          <w:color w:val="auto"/>
          <w:sz w:val="24"/>
          <w:szCs w:val="24"/>
          <w:lang w:val="en-US" w:eastAsia="zh-CN" w:bidi="ar-SA"/>
        </w:rPr>
        <w:t>11.5</w:t>
      </w:r>
      <w:r>
        <w:rPr>
          <w:rFonts w:hint="default" w:ascii="Times New Roman" w:hAnsi="Times New Roman" w:cs="Times New Roman" w:eastAsiaTheme="minorEastAsia"/>
          <w:sz w:val="24"/>
          <w:szCs w:val="24"/>
        </w:rPr>
        <w:t>本协议自各方法定代表人或合法授权代表签字并盖章（仅限公章或合同专用章）之日起生效。</w:t>
      </w:r>
      <w:r>
        <w:rPr>
          <w:rFonts w:hint="default" w:ascii="Times New Roman" w:hAnsi="Times New Roman" w:cs="Times New Roman" w:eastAsiaTheme="minorEastAsia"/>
          <w:sz w:val="24"/>
          <w:szCs w:val="24"/>
          <w:highlight w:val="none"/>
        </w:rPr>
        <w:t>本协议一式</w:t>
      </w:r>
      <w:r>
        <w:rPr>
          <w:rFonts w:hint="default" w:ascii="Times New Roman" w:hAnsi="Times New Roman" w:cs="Times New Roman" w:eastAsiaTheme="minorEastAsia"/>
          <w:sz w:val="24"/>
          <w:szCs w:val="24"/>
          <w:highlight w:val="none"/>
          <w:u w:val="single"/>
        </w:rPr>
        <w:t>伍</w:t>
      </w:r>
      <w:r>
        <w:rPr>
          <w:rFonts w:hint="default" w:ascii="Times New Roman" w:hAnsi="Times New Roman" w:cs="Times New Roman" w:eastAsiaTheme="minorEastAsia"/>
          <w:sz w:val="24"/>
          <w:szCs w:val="24"/>
          <w:highlight w:val="none"/>
        </w:rPr>
        <w:t>份，具有同等法律效力。申办方执</w:t>
      </w:r>
      <w:r>
        <w:rPr>
          <w:rFonts w:hint="default" w:ascii="Times New Roman" w:hAnsi="Times New Roman" w:cs="Times New Roman" w:eastAsiaTheme="minorEastAsia"/>
          <w:sz w:val="24"/>
          <w:szCs w:val="24"/>
          <w:highlight w:val="none"/>
          <w:u w:val="single"/>
        </w:rPr>
        <w:t>贰</w:t>
      </w:r>
      <w:r>
        <w:rPr>
          <w:rFonts w:hint="default" w:ascii="Times New Roman" w:hAnsi="Times New Roman" w:cs="Times New Roman" w:eastAsiaTheme="minorEastAsia"/>
          <w:sz w:val="24"/>
          <w:szCs w:val="24"/>
          <w:highlight w:val="none"/>
        </w:rPr>
        <w:t>份，研究机构执</w:t>
      </w:r>
      <w:r>
        <w:rPr>
          <w:rFonts w:hint="default" w:ascii="Times New Roman" w:hAnsi="Times New Roman" w:cs="Times New Roman" w:eastAsiaTheme="minorEastAsia"/>
          <w:sz w:val="24"/>
          <w:szCs w:val="24"/>
          <w:highlight w:val="none"/>
          <w:u w:val="single"/>
        </w:rPr>
        <w:t>贰</w:t>
      </w:r>
      <w:r>
        <w:rPr>
          <w:rFonts w:hint="default" w:ascii="Times New Roman" w:hAnsi="Times New Roman" w:cs="Times New Roman" w:eastAsiaTheme="minorEastAsia"/>
          <w:sz w:val="24"/>
          <w:szCs w:val="24"/>
          <w:highlight w:val="none"/>
        </w:rPr>
        <w:t>份，服务方执</w:t>
      </w:r>
      <w:r>
        <w:rPr>
          <w:rFonts w:hint="default" w:ascii="Times New Roman" w:hAnsi="Times New Roman" w:cs="Times New Roman" w:eastAsiaTheme="minorEastAsia"/>
          <w:sz w:val="24"/>
          <w:szCs w:val="24"/>
          <w:highlight w:val="none"/>
          <w:u w:val="single"/>
        </w:rPr>
        <w:t>壹</w:t>
      </w:r>
      <w:r>
        <w:rPr>
          <w:rFonts w:hint="default" w:ascii="Times New Roman" w:hAnsi="Times New Roman" w:cs="Times New Roman" w:eastAsiaTheme="minorEastAsia"/>
          <w:sz w:val="24"/>
          <w:szCs w:val="24"/>
          <w:highlight w:val="none"/>
        </w:rPr>
        <w:t>份。</w:t>
      </w:r>
    </w:p>
    <w:p w14:paraId="1FCE5147">
      <w:pPr>
        <w:wordWrap w:val="0"/>
        <w:spacing w:line="276" w:lineRule="auto"/>
        <w:rPr>
          <w:rFonts w:hint="default" w:ascii="Times New Roman" w:hAnsi="Times New Roman" w:cs="Times New Roman" w:eastAsiaTheme="minorEastAsia"/>
          <w:sz w:val="24"/>
          <w:szCs w:val="24"/>
        </w:rPr>
      </w:pPr>
    </w:p>
    <w:p w14:paraId="16781A86">
      <w:pPr>
        <w:wordWrap w:val="0"/>
        <w:spacing w:line="276" w:lineRule="auto"/>
        <w:rPr>
          <w:rFonts w:hint="default" w:ascii="Times New Roman" w:hAnsi="Times New Roman" w:cs="Times New Roman" w:eastAsiaTheme="minorEastAsia"/>
          <w:sz w:val="24"/>
          <w:szCs w:val="24"/>
        </w:rPr>
      </w:pPr>
    </w:p>
    <w:p w14:paraId="57B1ABE4">
      <w:pPr>
        <w:wordWrap w:val="0"/>
        <w:spacing w:line="276" w:lineRule="auto"/>
        <w:rPr>
          <w:rFonts w:hint="default" w:ascii="Times New Roman" w:hAnsi="Times New Roman" w:cs="Times New Roman" w:eastAsiaTheme="minorEastAsia"/>
          <w:sz w:val="24"/>
          <w:szCs w:val="24"/>
        </w:rPr>
      </w:pPr>
    </w:p>
    <w:p w14:paraId="24B6B7BA">
      <w:pPr>
        <w:wordWrap w:val="0"/>
        <w:spacing w:line="276" w:lineRule="auto"/>
        <w:rPr>
          <w:rFonts w:hint="default" w:ascii="Times New Roman" w:hAnsi="Times New Roman" w:cs="Times New Roman" w:eastAsiaTheme="minorEastAsia"/>
          <w:sz w:val="24"/>
          <w:szCs w:val="24"/>
        </w:rPr>
      </w:pPr>
    </w:p>
    <w:p w14:paraId="77353F04">
      <w:pPr>
        <w:wordWrap w:val="0"/>
        <w:spacing w:line="276" w:lineRule="auto"/>
        <w:rPr>
          <w:rFonts w:hint="default" w:ascii="Times New Roman" w:hAnsi="Times New Roman" w:cs="Times New Roman" w:eastAsiaTheme="minorEastAsia"/>
          <w:sz w:val="24"/>
          <w:szCs w:val="24"/>
        </w:rPr>
      </w:pPr>
    </w:p>
    <w:p w14:paraId="3589140B">
      <w:pPr>
        <w:wordWrap w:val="0"/>
        <w:spacing w:line="276" w:lineRule="auto"/>
        <w:rPr>
          <w:rFonts w:hint="default" w:ascii="Times New Roman" w:hAnsi="Times New Roman" w:cs="Times New Roman" w:eastAsiaTheme="minorEastAsia"/>
          <w:sz w:val="24"/>
          <w:szCs w:val="24"/>
        </w:rPr>
      </w:pPr>
    </w:p>
    <w:p w14:paraId="5FCD65A6">
      <w:pPr>
        <w:wordWrap w:val="0"/>
        <w:spacing w:line="276" w:lineRule="auto"/>
        <w:rPr>
          <w:rFonts w:hint="default" w:ascii="Times New Roman" w:hAnsi="Times New Roman" w:cs="Times New Roman" w:eastAsiaTheme="minorEastAsia"/>
          <w:sz w:val="24"/>
          <w:szCs w:val="24"/>
        </w:rPr>
      </w:pPr>
    </w:p>
    <w:p w14:paraId="1C1F6EFB">
      <w:pPr>
        <w:wordWrap w:val="0"/>
        <w:spacing w:line="276" w:lineRule="auto"/>
        <w:rPr>
          <w:rFonts w:hint="default" w:ascii="Times New Roman" w:hAnsi="Times New Roman" w:cs="Times New Roman" w:eastAsiaTheme="minorEastAsia"/>
          <w:sz w:val="24"/>
          <w:szCs w:val="24"/>
        </w:rPr>
      </w:pPr>
    </w:p>
    <w:p w14:paraId="359349DB">
      <w:pPr>
        <w:wordWrap w:val="0"/>
        <w:spacing w:line="276" w:lineRule="auto"/>
        <w:rPr>
          <w:rFonts w:hint="default" w:ascii="Times New Roman" w:hAnsi="Times New Roman" w:cs="Times New Roman" w:eastAsiaTheme="minorEastAsia"/>
          <w:sz w:val="24"/>
          <w:szCs w:val="24"/>
        </w:rPr>
      </w:pPr>
    </w:p>
    <w:p w14:paraId="2004DEF2">
      <w:pPr>
        <w:wordWrap w:val="0"/>
        <w:spacing w:line="276" w:lineRule="auto"/>
        <w:rPr>
          <w:rFonts w:hint="default" w:ascii="Times New Roman" w:hAnsi="Times New Roman" w:cs="Times New Roman" w:eastAsiaTheme="minorEastAsia"/>
          <w:sz w:val="24"/>
          <w:szCs w:val="24"/>
        </w:rPr>
      </w:pPr>
    </w:p>
    <w:p w14:paraId="5CF779D9">
      <w:pPr>
        <w:wordWrap w:val="0"/>
        <w:spacing w:line="276" w:lineRule="auto"/>
        <w:rPr>
          <w:rFonts w:hint="default" w:ascii="Times New Roman" w:hAnsi="Times New Roman" w:cs="Times New Roman" w:eastAsiaTheme="minorEastAsia"/>
          <w:sz w:val="24"/>
          <w:szCs w:val="24"/>
        </w:rPr>
      </w:pPr>
    </w:p>
    <w:p w14:paraId="17EFC9E8">
      <w:pPr>
        <w:wordWrap w:val="0"/>
        <w:spacing w:line="276" w:lineRule="auto"/>
        <w:rPr>
          <w:rFonts w:hint="default" w:ascii="Times New Roman" w:hAnsi="Times New Roman" w:cs="Times New Roman" w:eastAsiaTheme="minorEastAsia"/>
          <w:sz w:val="24"/>
          <w:szCs w:val="24"/>
        </w:rPr>
      </w:pPr>
    </w:p>
    <w:p w14:paraId="3F2F47CD">
      <w:pPr>
        <w:wordWrap w:val="0"/>
        <w:spacing w:line="276" w:lineRule="auto"/>
        <w:rPr>
          <w:rFonts w:hint="default" w:ascii="Times New Roman" w:hAnsi="Times New Roman" w:cs="Times New Roman" w:eastAsiaTheme="minorEastAsia"/>
          <w:sz w:val="24"/>
          <w:szCs w:val="24"/>
        </w:rPr>
      </w:pPr>
    </w:p>
    <w:p w14:paraId="789B2291">
      <w:pPr>
        <w:wordWrap w:val="0"/>
        <w:spacing w:line="276" w:lineRule="auto"/>
        <w:rPr>
          <w:rFonts w:hint="default" w:ascii="Times New Roman" w:hAnsi="Times New Roman" w:cs="Times New Roman" w:eastAsiaTheme="minorEastAsia"/>
          <w:sz w:val="24"/>
          <w:szCs w:val="24"/>
        </w:rPr>
      </w:pPr>
    </w:p>
    <w:p w14:paraId="3DBFA2BA">
      <w:pPr>
        <w:wordWrap w:val="0"/>
        <w:spacing w:line="276" w:lineRule="auto"/>
        <w:rPr>
          <w:rFonts w:hint="default" w:ascii="Times New Roman" w:hAnsi="Times New Roman" w:cs="Times New Roman" w:eastAsiaTheme="minorEastAsia"/>
          <w:sz w:val="24"/>
          <w:szCs w:val="24"/>
        </w:rPr>
      </w:pPr>
    </w:p>
    <w:p w14:paraId="0A0CAFC9">
      <w:pPr>
        <w:wordWrap w:val="0"/>
        <w:spacing w:line="276" w:lineRule="auto"/>
        <w:rPr>
          <w:rFonts w:hint="default" w:ascii="Times New Roman" w:hAnsi="Times New Roman" w:cs="Times New Roman" w:eastAsiaTheme="minorEastAsia"/>
          <w:sz w:val="24"/>
          <w:szCs w:val="24"/>
        </w:rPr>
      </w:pPr>
    </w:p>
    <w:p w14:paraId="5BC37362">
      <w:pPr>
        <w:wordWrap w:val="0"/>
        <w:spacing w:line="276" w:lineRule="auto"/>
        <w:rPr>
          <w:rFonts w:hint="default" w:ascii="Times New Roman" w:hAnsi="Times New Roman" w:cs="Times New Roman" w:eastAsiaTheme="minorEastAsia"/>
          <w:sz w:val="24"/>
          <w:szCs w:val="24"/>
        </w:rPr>
      </w:pPr>
    </w:p>
    <w:p w14:paraId="61A287B0">
      <w:pPr>
        <w:wordWrap w:val="0"/>
        <w:spacing w:line="276" w:lineRule="auto"/>
        <w:rPr>
          <w:rFonts w:hint="default" w:ascii="Times New Roman" w:hAnsi="Times New Roman" w:cs="Times New Roman" w:eastAsiaTheme="minorEastAsia"/>
          <w:sz w:val="24"/>
          <w:szCs w:val="24"/>
        </w:rPr>
      </w:pPr>
    </w:p>
    <w:p w14:paraId="691793D6">
      <w:pPr>
        <w:wordWrap w:val="0"/>
        <w:spacing w:line="276"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甲方：</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rPr>
        <w:t>（盖章）</w:t>
      </w:r>
    </w:p>
    <w:p w14:paraId="488F5EDF">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法定代表人/授权代表签字：_________________</w:t>
      </w:r>
    </w:p>
    <w:p w14:paraId="3F375A97">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日   期：_________________</w:t>
      </w:r>
    </w:p>
    <w:p w14:paraId="499B3AEE">
      <w:pPr>
        <w:wordWrap w:val="0"/>
        <w:spacing w:line="276" w:lineRule="auto"/>
        <w:rPr>
          <w:rFonts w:hint="default" w:ascii="Times New Roman" w:hAnsi="Times New Roman" w:cs="Times New Roman" w:eastAsiaTheme="minorEastAsia"/>
          <w:color w:val="000000"/>
          <w:sz w:val="24"/>
          <w:szCs w:val="24"/>
        </w:rPr>
      </w:pPr>
    </w:p>
    <w:p w14:paraId="319F4221">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sz w:val="24"/>
          <w:szCs w:val="24"/>
        </w:rPr>
        <w:t>乙方：</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b w:val="0"/>
          <w:bCs w:val="0"/>
          <w:sz w:val="24"/>
          <w:szCs w:val="24"/>
          <w:u w:val="single"/>
        </w:rPr>
        <w:t>台州市立医院</w:t>
      </w:r>
      <w:r>
        <w:rPr>
          <w:rFonts w:hint="default" w:ascii="Times New Roman" w:hAnsi="Times New Roman" w:cs="Times New Roman" w:eastAsiaTheme="minorEastAsia"/>
          <w:b w:val="0"/>
          <w:bCs w:val="0"/>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（盖章）</w:t>
      </w:r>
      <w:bookmarkStart w:id="4" w:name="_GoBack"/>
      <w:bookmarkEnd w:id="4"/>
    </w:p>
    <w:p w14:paraId="45B8B604">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主要研究者签字：_________________</w:t>
      </w:r>
    </w:p>
    <w:p w14:paraId="5A2BA2F9">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日   期：_________________</w:t>
      </w:r>
    </w:p>
    <w:p w14:paraId="135825D1">
      <w:pPr>
        <w:wordWrap w:val="0"/>
        <w:spacing w:line="276" w:lineRule="auto"/>
        <w:rPr>
          <w:rFonts w:hint="default" w:ascii="Times New Roman" w:hAnsi="Times New Roman" w:cs="Times New Roman" w:eastAsiaTheme="minorEastAsia"/>
          <w:color w:val="000000"/>
          <w:sz w:val="24"/>
          <w:szCs w:val="24"/>
        </w:rPr>
      </w:pPr>
    </w:p>
    <w:p w14:paraId="1987154A">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法定代表人/授权代表签字：_________________</w:t>
      </w:r>
    </w:p>
    <w:p w14:paraId="1A3B7BB4">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日   期：_________________</w:t>
      </w:r>
    </w:p>
    <w:p w14:paraId="5ACC6D80">
      <w:pPr>
        <w:wordWrap w:val="0"/>
        <w:spacing w:line="276" w:lineRule="auto"/>
        <w:rPr>
          <w:rFonts w:hint="default" w:ascii="Times New Roman" w:hAnsi="Times New Roman" w:cs="Times New Roman" w:eastAsiaTheme="minorEastAsia"/>
          <w:color w:val="000000"/>
          <w:sz w:val="24"/>
          <w:szCs w:val="24"/>
        </w:rPr>
      </w:pPr>
    </w:p>
    <w:p w14:paraId="57181D65">
      <w:pPr>
        <w:wordWrap w:val="0"/>
        <w:spacing w:line="276" w:lineRule="auto"/>
        <w:rPr>
          <w:rFonts w:hint="default" w:ascii="Times New Roman" w:hAnsi="Times New Roman" w:cs="Times New Roman" w:eastAsiaTheme="minorEastAsia"/>
          <w:color w:val="000000"/>
          <w:sz w:val="24"/>
          <w:szCs w:val="24"/>
        </w:rPr>
      </w:pPr>
    </w:p>
    <w:p w14:paraId="2580D16B">
      <w:pPr>
        <w:wordWrap w:val="0"/>
        <w:spacing w:line="276" w:lineRule="auto"/>
        <w:rPr>
          <w:rFonts w:hint="default" w:ascii="Times New Roman" w:hAnsi="Times New Roman" w:cs="Times New Roman" w:eastAsiaTheme="minorEastAsia"/>
          <w:color w:val="000000"/>
          <w:sz w:val="24"/>
          <w:szCs w:val="24"/>
          <w:u w:val="single"/>
        </w:rPr>
      </w:pPr>
      <w:r>
        <w:rPr>
          <w:rFonts w:hint="default" w:ascii="Times New Roman" w:hAnsi="Times New Roman" w:cs="Times New Roman" w:eastAsiaTheme="minorEastAsia"/>
          <w:color w:val="000000"/>
          <w:sz w:val="24"/>
          <w:szCs w:val="24"/>
        </w:rPr>
        <w:t>丙方：</w:t>
      </w:r>
      <w:r>
        <w:rPr>
          <w:rFonts w:hint="default" w:ascii="Times New Roman" w:hAnsi="Times New Roman" w:cs="Times New Roman" w:eastAsiaTheme="minorEastAsia"/>
          <w:color w:val="000000"/>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color w:val="000000"/>
          <w:sz w:val="24"/>
          <w:szCs w:val="24"/>
          <w:u w:val="single"/>
        </w:rPr>
        <w:t xml:space="preserve"> </w:t>
      </w:r>
    </w:p>
    <w:p w14:paraId="71B499EA">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法定代表人/授权代表签字：_________________</w:t>
      </w:r>
    </w:p>
    <w:p w14:paraId="3881A503">
      <w:pPr>
        <w:wordWrap w:val="0"/>
        <w:spacing w:line="276" w:lineRule="auto"/>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日   期：_________________</w:t>
      </w:r>
    </w:p>
    <w:p w14:paraId="60A4396E">
      <w:pPr>
        <w:widowControl/>
        <w:wordWrap w:val="0"/>
        <w:spacing w:line="276" w:lineRule="auto"/>
        <w:jc w:val="left"/>
        <w:rPr>
          <w:rFonts w:hint="default" w:ascii="Times New Roman" w:hAnsi="Times New Roman" w:cs="Times New Roman" w:eastAsiaTheme="minorEastAsia"/>
          <w:color w:val="000000" w:themeColor="text1"/>
          <w:sz w:val="24"/>
          <w:szCs w:val="24"/>
          <w14:textFill>
            <w14:solidFill>
              <w14:schemeClr w14:val="tx1"/>
            </w14:solidFill>
          </w14:textFill>
        </w:rPr>
      </w:pPr>
    </w:p>
    <w:p w14:paraId="173C2CE5">
      <w:pPr>
        <w:widowControl/>
        <w:wordWrap w:val="0"/>
        <w:spacing w:line="276" w:lineRule="auto"/>
        <w:jc w:val="left"/>
        <w:rPr>
          <w:rFonts w:hint="default" w:ascii="Times New Roman" w:hAnsi="Times New Roman" w:cs="Times New Roman" w:eastAsiaTheme="minorEastAsia"/>
          <w:color w:val="000000" w:themeColor="text1"/>
          <w:sz w:val="24"/>
          <w:szCs w:val="24"/>
          <w14:textFill>
            <w14:solidFill>
              <w14:schemeClr w14:val="tx1"/>
            </w14:solidFill>
          </w14:textFill>
        </w:rPr>
      </w:pPr>
    </w:p>
    <w:p w14:paraId="0BA41256">
      <w:pPr>
        <w:widowControl/>
        <w:jc w:val="lef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附件</w:t>
      </w:r>
      <w:r>
        <w:rPr>
          <w:rFonts w:hint="default" w:ascii="Times New Roman" w:hAnsi="Times New Roman" w:cs="Times New Roman" w:eastAsiaTheme="minorEastAsia"/>
          <w:b/>
          <w:sz w:val="24"/>
          <w:szCs w:val="24"/>
          <w:lang w:val="en-US" w:eastAsia="zh-CN"/>
        </w:rPr>
        <w:t>一</w:t>
      </w:r>
      <w:r>
        <w:rPr>
          <w:rFonts w:hint="default" w:ascii="Times New Roman" w:hAnsi="Times New Roman" w:cs="Times New Roman" w:eastAsiaTheme="minorEastAsia"/>
          <w:b/>
          <w:sz w:val="24"/>
          <w:szCs w:val="24"/>
        </w:rPr>
        <w:t>：临床研究协调员工作内容</w:t>
      </w:r>
    </w:p>
    <w:p w14:paraId="73721D66">
      <w:pPr>
        <w:spacing w:before="56"/>
        <w:rPr>
          <w:rFonts w:hint="default" w:ascii="Times New Roman" w:hAnsi="Times New Roman" w:cs="Times New Roman" w:eastAsiaTheme="minorEastAsia"/>
          <w:b/>
          <w:sz w:val="24"/>
          <w:szCs w:val="24"/>
        </w:rPr>
      </w:pPr>
      <w:r>
        <w:rPr>
          <w:rFonts w:hint="default" w:ascii="Times New Roman" w:hAnsi="Times New Roman" w:cs="Times New Roman" w:eastAsiaTheme="minorEastAsia"/>
          <w:sz w:val="24"/>
          <w:szCs w:val="24"/>
        </w:rPr>
        <w:t>职责：根据GCP和研究方案要求，协助项目负责医生完成各项工作：</w:t>
      </w:r>
    </w:p>
    <w:tbl>
      <w:tblPr>
        <w:tblStyle w:val="31"/>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176"/>
        <w:gridCol w:w="5976"/>
      </w:tblGrid>
      <w:tr w14:paraId="416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09" w:type="pct"/>
            <w:shd w:val="clear" w:color="000000" w:fill="DAEEF3"/>
            <w:vAlign w:val="center"/>
          </w:tcPr>
          <w:p w14:paraId="7BDED553">
            <w:pPr>
              <w:widowControl/>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序号</w:t>
            </w:r>
          </w:p>
        </w:tc>
        <w:tc>
          <w:tcPr>
            <w:tcW w:w="1225" w:type="pct"/>
            <w:shd w:val="clear" w:color="000000" w:fill="DAEEF3"/>
            <w:vAlign w:val="center"/>
          </w:tcPr>
          <w:p w14:paraId="2EAADA59">
            <w:pPr>
              <w:widowControl/>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工作内容</w:t>
            </w:r>
          </w:p>
        </w:tc>
        <w:tc>
          <w:tcPr>
            <w:tcW w:w="3364" w:type="pct"/>
            <w:shd w:val="clear" w:color="000000" w:fill="DAEEF3"/>
            <w:vAlign w:val="center"/>
          </w:tcPr>
          <w:p w14:paraId="6B875249">
            <w:pPr>
              <w:widowControl/>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CRC工作描述</w:t>
            </w:r>
          </w:p>
        </w:tc>
      </w:tr>
      <w:tr w14:paraId="4DA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9" w:type="pct"/>
            <w:vAlign w:val="center"/>
          </w:tcPr>
          <w:p w14:paraId="7F1F6CBF">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 xml:space="preserve">1 </w:t>
            </w:r>
          </w:p>
        </w:tc>
        <w:tc>
          <w:tcPr>
            <w:tcW w:w="1225" w:type="pct"/>
            <w:vAlign w:val="center"/>
          </w:tcPr>
          <w:p w14:paraId="739BDB36">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伦理及机构的沟通</w:t>
            </w:r>
          </w:p>
        </w:tc>
        <w:tc>
          <w:tcPr>
            <w:tcW w:w="3364" w:type="pct"/>
            <w:vAlign w:val="center"/>
          </w:tcPr>
          <w:p w14:paraId="3D35A253">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协助研究者完成试验期间伦理资料的递交和备案；获取伦理批件和回执</w:t>
            </w:r>
          </w:p>
        </w:tc>
      </w:tr>
      <w:tr w14:paraId="31EE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09" w:type="pct"/>
            <w:vAlign w:val="center"/>
          </w:tcPr>
          <w:p w14:paraId="394DA030">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 xml:space="preserve">2 </w:t>
            </w:r>
          </w:p>
        </w:tc>
        <w:tc>
          <w:tcPr>
            <w:tcW w:w="1225" w:type="pct"/>
            <w:vAlign w:val="center"/>
          </w:tcPr>
          <w:p w14:paraId="72072B6C">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安全性报告管理</w:t>
            </w:r>
          </w:p>
        </w:tc>
        <w:tc>
          <w:tcPr>
            <w:tcW w:w="3364" w:type="pct"/>
            <w:vAlign w:val="center"/>
          </w:tcPr>
          <w:p w14:paraId="1819D435">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协助研究者完成SAE报告及SUSAR等相关安全报告、完成签署、伦理递交</w:t>
            </w:r>
          </w:p>
        </w:tc>
      </w:tr>
      <w:tr w14:paraId="27BC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09" w:type="pct"/>
            <w:shd w:val="clear" w:color="auto" w:fill="auto"/>
            <w:vAlign w:val="center"/>
          </w:tcPr>
          <w:p w14:paraId="303E2C65">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225" w:type="pct"/>
            <w:shd w:val="clear" w:color="auto" w:fill="auto"/>
            <w:vAlign w:val="center"/>
          </w:tcPr>
          <w:p w14:paraId="5C39E366">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试验文档管理</w:t>
            </w:r>
          </w:p>
        </w:tc>
        <w:tc>
          <w:tcPr>
            <w:tcW w:w="3364" w:type="pct"/>
            <w:vAlign w:val="center"/>
          </w:tcPr>
          <w:p w14:paraId="33D5AF8D">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协助研究者完成试验各个阶段研究中心的文档收集、管理、更新；</w:t>
            </w:r>
          </w:p>
        </w:tc>
      </w:tr>
      <w:tr w14:paraId="3137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vAlign w:val="center"/>
          </w:tcPr>
          <w:p w14:paraId="0380FD15">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4</w:t>
            </w:r>
          </w:p>
        </w:tc>
        <w:tc>
          <w:tcPr>
            <w:tcW w:w="1225" w:type="pct"/>
            <w:vAlign w:val="center"/>
          </w:tcPr>
          <w:p w14:paraId="0679AFAD">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受试者管理</w:t>
            </w:r>
          </w:p>
        </w:tc>
        <w:tc>
          <w:tcPr>
            <w:tcW w:w="3364" w:type="pct"/>
            <w:vAlign w:val="center"/>
          </w:tcPr>
          <w:p w14:paraId="0555374C">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协助研究者完成受试者筛选、入组、随访工作，包括安排受试者访视、各项实验室检查、获取检查结果并找研究者审阅签字等；</w:t>
            </w:r>
          </w:p>
        </w:tc>
      </w:tr>
      <w:tr w14:paraId="344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09" w:type="pct"/>
            <w:vAlign w:val="center"/>
          </w:tcPr>
          <w:p w14:paraId="2B1F0C40">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225" w:type="pct"/>
            <w:vAlign w:val="center"/>
          </w:tcPr>
          <w:p w14:paraId="6125AEF7">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研究药物管理</w:t>
            </w:r>
          </w:p>
        </w:tc>
        <w:tc>
          <w:tcPr>
            <w:tcW w:w="3364" w:type="pct"/>
            <w:vAlign w:val="center"/>
          </w:tcPr>
          <w:p w14:paraId="7DB63103">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协助研究者完成临床研究药物的管理和计数，包括研究药物接收、保存、分发、回收和归还；</w:t>
            </w:r>
          </w:p>
          <w:p w14:paraId="518346E3">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协助研究者完成药物相关表格的填写；</w:t>
            </w:r>
          </w:p>
        </w:tc>
      </w:tr>
      <w:tr w14:paraId="5ED7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09" w:type="pct"/>
            <w:shd w:val="clear" w:color="auto" w:fill="auto"/>
            <w:vAlign w:val="center"/>
          </w:tcPr>
          <w:p w14:paraId="1385AD03">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6</w:t>
            </w:r>
          </w:p>
        </w:tc>
        <w:tc>
          <w:tcPr>
            <w:tcW w:w="1225" w:type="pct"/>
            <w:shd w:val="clear" w:color="auto" w:fill="auto"/>
            <w:vAlign w:val="center"/>
          </w:tcPr>
          <w:p w14:paraId="0A4B10CD">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EDC录入/CRF填写及质疑解答</w:t>
            </w:r>
          </w:p>
        </w:tc>
        <w:tc>
          <w:tcPr>
            <w:tcW w:w="3364" w:type="pct"/>
            <w:vAlign w:val="center"/>
          </w:tcPr>
          <w:p w14:paraId="7CD05199">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在研究者授权下协助研究者填写病例报告表及质疑解答（需要进行医学判断的答疑除外）；</w:t>
            </w:r>
          </w:p>
        </w:tc>
      </w:tr>
      <w:tr w14:paraId="4F2D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09" w:type="pct"/>
            <w:shd w:val="clear" w:color="auto" w:fill="auto"/>
            <w:vAlign w:val="center"/>
          </w:tcPr>
          <w:p w14:paraId="08609026">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7</w:t>
            </w:r>
          </w:p>
        </w:tc>
        <w:tc>
          <w:tcPr>
            <w:tcW w:w="1225" w:type="pct"/>
            <w:shd w:val="clear" w:color="auto" w:fill="auto"/>
            <w:vAlign w:val="center"/>
          </w:tcPr>
          <w:p w14:paraId="7B86A9D0">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试验样本管理</w:t>
            </w:r>
          </w:p>
        </w:tc>
        <w:tc>
          <w:tcPr>
            <w:tcW w:w="3364" w:type="pct"/>
            <w:vAlign w:val="center"/>
          </w:tcPr>
          <w:p w14:paraId="782D909D">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协助研究者完成试验样本的处理、保存和运送工作；</w:t>
            </w:r>
          </w:p>
          <w:p w14:paraId="0711C136">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协助研究者进行PK、免疫原性采血；</w:t>
            </w:r>
          </w:p>
        </w:tc>
      </w:tr>
      <w:tr w14:paraId="2C97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09" w:type="pct"/>
            <w:shd w:val="clear" w:color="auto" w:fill="auto"/>
            <w:vAlign w:val="center"/>
          </w:tcPr>
          <w:p w14:paraId="3166D8C9">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8</w:t>
            </w:r>
          </w:p>
        </w:tc>
        <w:tc>
          <w:tcPr>
            <w:tcW w:w="1225" w:type="pct"/>
            <w:shd w:val="clear" w:color="auto" w:fill="auto"/>
            <w:vAlign w:val="center"/>
          </w:tcPr>
          <w:p w14:paraId="51976611">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CRA监查工作的配合</w:t>
            </w:r>
          </w:p>
        </w:tc>
        <w:tc>
          <w:tcPr>
            <w:tcW w:w="3364" w:type="pct"/>
            <w:vAlign w:val="center"/>
          </w:tcPr>
          <w:p w14:paraId="38338C38">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提前准备各种文档供CRA监查；在研究者授权下协助研究者进行质疑解答（涉及医学判断的答疑除外）；</w:t>
            </w:r>
          </w:p>
        </w:tc>
      </w:tr>
      <w:tr w14:paraId="65EF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09" w:type="pct"/>
            <w:shd w:val="clear" w:color="auto" w:fill="auto"/>
            <w:vAlign w:val="center"/>
          </w:tcPr>
          <w:p w14:paraId="38B532B3">
            <w:pPr>
              <w:widowControl/>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9</w:t>
            </w:r>
          </w:p>
        </w:tc>
        <w:tc>
          <w:tcPr>
            <w:tcW w:w="1225" w:type="pct"/>
            <w:shd w:val="clear" w:color="auto" w:fill="auto"/>
            <w:vAlign w:val="center"/>
          </w:tcPr>
          <w:p w14:paraId="1A66D12D">
            <w:pPr>
              <w:widowControl/>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物资管理：</w:t>
            </w:r>
          </w:p>
        </w:tc>
        <w:tc>
          <w:tcPr>
            <w:tcW w:w="3364" w:type="pct"/>
            <w:vAlign w:val="center"/>
          </w:tcPr>
          <w:p w14:paraId="75735E25">
            <w:pPr>
              <w:widowControl/>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进行试验相关物资的管理和计数，包括相关物资的接收、保存、回收和归还，并完成相关记录；关注物资库存情况，按时联系CRA补充订购；</w:t>
            </w:r>
          </w:p>
        </w:tc>
      </w:tr>
    </w:tbl>
    <w:p w14:paraId="385F0E9A">
      <w:pPr>
        <w:ind w:firstLine="480" w:firstLineChars="200"/>
        <w:rPr>
          <w:rFonts w:hint="default" w:ascii="Times New Roman" w:hAnsi="Times New Roman" w:cs="Times New Roman" w:eastAsiaTheme="minorEastAsia"/>
          <w:sz w:val="24"/>
          <w:szCs w:val="24"/>
        </w:rPr>
      </w:pPr>
    </w:p>
    <w:p w14:paraId="7003404F">
      <w:pPr>
        <w:rPr>
          <w:rFonts w:hint="default" w:ascii="Times New Roman" w:hAnsi="Times New Roman" w:cs="Times New Roman" w:eastAsiaTheme="minorEastAsia"/>
          <w:sz w:val="24"/>
          <w:szCs w:val="24"/>
        </w:rPr>
      </w:pPr>
    </w:p>
    <w:p w14:paraId="47C71B19">
      <w:pPr>
        <w:rPr>
          <w:rFonts w:hint="default" w:ascii="Times New Roman" w:hAnsi="Times New Roman" w:cs="Times New Roman" w:eastAsiaTheme="minorEastAsia"/>
          <w:sz w:val="24"/>
          <w:szCs w:val="24"/>
        </w:rPr>
      </w:pPr>
    </w:p>
    <w:p w14:paraId="3C67666C">
      <w:pPr>
        <w:rPr>
          <w:rFonts w:hint="default" w:ascii="Times New Roman" w:hAnsi="Times New Roman" w:cs="Times New Roman" w:eastAsiaTheme="minorEastAsia"/>
          <w:sz w:val="24"/>
          <w:szCs w:val="24"/>
        </w:rPr>
      </w:pPr>
    </w:p>
    <w:p w14:paraId="65D11CFE">
      <w:pPr>
        <w:rPr>
          <w:rFonts w:hint="default" w:ascii="Times New Roman" w:hAnsi="Times New Roman" w:cs="Times New Roman" w:eastAsiaTheme="minorEastAsia"/>
          <w:sz w:val="24"/>
          <w:szCs w:val="24"/>
        </w:rPr>
      </w:pPr>
    </w:p>
    <w:sectPr>
      <w:head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bon">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159B">
    <w:pPr>
      <w:jc w:val="right"/>
      <w:rPr>
        <w:rFonts w:ascii="Times New Roman" w:hAnsi="Times New Roman"/>
        <w:sz w:val="18"/>
        <w:szCs w:val="18"/>
      </w:rPr>
    </w:pPr>
    <w:r>
      <w:rPr>
        <w:rFonts w:hint="eastAsia"/>
      </w:rPr>
      <w:t xml:space="preserve"> </w:t>
    </w:r>
    <w:r>
      <w:t xml:space="preserve">                        </w:t>
    </w:r>
  </w:p>
  <w:p w14:paraId="4AA7969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205C5"/>
    <w:multiLevelType w:val="multilevel"/>
    <w:tmpl w:val="6DB205C5"/>
    <w:lvl w:ilvl="0" w:tentative="0">
      <w:start w:val="1"/>
      <w:numFmt w:val="decimal"/>
      <w:pStyle w:val="2"/>
      <w:lvlText w:val="%1."/>
      <w:lvlJc w:val="left"/>
      <w:pPr>
        <w:tabs>
          <w:tab w:val="left" w:pos="709"/>
        </w:tabs>
        <w:ind w:left="709" w:hanging="709"/>
      </w:pPr>
      <w:rPr>
        <w:rFonts w:hint="default" w:ascii="Sabon" w:hAnsi="Sabon"/>
        <w:b/>
        <w:i w:val="0"/>
        <w:caps/>
        <w:strike w:val="0"/>
        <w:vanish w:val="0"/>
        <w:color w:val="auto"/>
        <w:sz w:val="22"/>
        <w:szCs w:val="24"/>
        <w:u w:val="none"/>
        <w:vertAlign w:val="baseline"/>
      </w:rPr>
    </w:lvl>
    <w:lvl w:ilvl="1" w:tentative="0">
      <w:start w:val="1"/>
      <w:numFmt w:val="decimal"/>
      <w:pStyle w:val="3"/>
      <w:lvlText w:val="%1.%2"/>
      <w:lvlJc w:val="left"/>
      <w:pPr>
        <w:tabs>
          <w:tab w:val="left" w:pos="709"/>
        </w:tabs>
        <w:ind w:left="709" w:hanging="709"/>
      </w:pPr>
      <w:rPr>
        <w:rFonts w:hint="default" w:ascii="Sabon" w:hAnsi="Sabon" w:cs="Times New Roman"/>
        <w:b w:val="0"/>
        <w:i w:val="0"/>
        <w:caps w:val="0"/>
        <w:strike w:val="0"/>
        <w:vanish w:val="0"/>
        <w:color w:val="auto"/>
        <w:sz w:val="22"/>
        <w:u w:val="none"/>
        <w:vertAlign w:val="baseline"/>
      </w:rPr>
    </w:lvl>
    <w:lvl w:ilvl="2" w:tentative="0">
      <w:start w:val="1"/>
      <w:numFmt w:val="lowerLetter"/>
      <w:pStyle w:val="4"/>
      <w:lvlText w:val="(%3)"/>
      <w:lvlJc w:val="left"/>
      <w:pPr>
        <w:tabs>
          <w:tab w:val="left" w:pos="1418"/>
        </w:tabs>
        <w:ind w:left="1418" w:hanging="709"/>
      </w:pPr>
      <w:rPr>
        <w:rFonts w:hint="default" w:ascii="Sabon" w:hAnsi="Sabon"/>
        <w:b w:val="0"/>
        <w:i w:val="0"/>
        <w:caps w:val="0"/>
        <w:strike w:val="0"/>
        <w:vanish w:val="0"/>
        <w:color w:val="000000"/>
        <w:sz w:val="22"/>
        <w:u w:val="none"/>
        <w:vertAlign w:val="baseline"/>
      </w:rPr>
    </w:lvl>
    <w:lvl w:ilvl="3" w:tentative="0">
      <w:start w:val="1"/>
      <w:numFmt w:val="lowerRoman"/>
      <w:pStyle w:val="5"/>
      <w:lvlText w:val="(%4)"/>
      <w:lvlJc w:val="left"/>
      <w:pPr>
        <w:tabs>
          <w:tab w:val="left" w:pos="2880"/>
        </w:tabs>
        <w:ind w:left="1440" w:firstLine="720"/>
      </w:pPr>
      <w:rPr>
        <w:rFonts w:hint="default"/>
        <w:caps w:val="0"/>
        <w:strike w:val="0"/>
        <w:vanish w:val="0"/>
        <w:u w:val="none"/>
      </w:rPr>
    </w:lvl>
    <w:lvl w:ilvl="4" w:tentative="0">
      <w:start w:val="1"/>
      <w:numFmt w:val="lowerLetter"/>
      <w:pStyle w:val="6"/>
      <w:lvlText w:val="(%5)"/>
      <w:lvlJc w:val="left"/>
      <w:pPr>
        <w:tabs>
          <w:tab w:val="left" w:pos="2880"/>
        </w:tabs>
        <w:ind w:left="2880" w:hanging="720"/>
      </w:pPr>
      <w:rPr>
        <w:rFonts w:hint="default"/>
        <w:caps w:val="0"/>
        <w:strike w:val="0"/>
        <w:vanish w:val="0"/>
        <w:color w:val="auto"/>
        <w:u w:val="none"/>
        <w:vertAlign w:val="baseline"/>
      </w:rPr>
    </w:lvl>
    <w:lvl w:ilvl="5" w:tentative="0">
      <w:start w:val="1"/>
      <w:numFmt w:val="lowerRoman"/>
      <w:pStyle w:val="7"/>
      <w:lvlText w:val="(%6)"/>
      <w:lvlJc w:val="left"/>
      <w:pPr>
        <w:tabs>
          <w:tab w:val="left" w:pos="3600"/>
        </w:tabs>
        <w:ind w:left="3600" w:hanging="720"/>
      </w:pPr>
      <w:rPr>
        <w:rFonts w:hint="default"/>
        <w:caps w:val="0"/>
        <w:strike w:val="0"/>
        <w:vanish w:val="0"/>
        <w:color w:val="auto"/>
        <w:u w:val="none"/>
        <w:vertAlign w:val="baseline"/>
      </w:rPr>
    </w:lvl>
    <w:lvl w:ilvl="6" w:tentative="0">
      <w:start w:val="1"/>
      <w:numFmt w:val="upperLetter"/>
      <w:pStyle w:val="8"/>
      <w:lvlText w:val="(%7)"/>
      <w:lvlJc w:val="left"/>
      <w:pPr>
        <w:tabs>
          <w:tab w:val="left" w:pos="4320"/>
        </w:tabs>
        <w:ind w:left="4320" w:hanging="720"/>
      </w:pPr>
      <w:rPr>
        <w:rFonts w:hint="default"/>
        <w:caps w:val="0"/>
        <w:strike w:val="0"/>
        <w:vanish w:val="0"/>
        <w:color w:val="auto"/>
        <w:u w:val="none"/>
        <w:vertAlign w:val="baseline"/>
      </w:rPr>
    </w:lvl>
    <w:lvl w:ilvl="7" w:tentative="0">
      <w:start w:val="1"/>
      <w:numFmt w:val="lowerLetter"/>
      <w:pStyle w:val="9"/>
      <w:lvlText w:val="%8."/>
      <w:lvlJc w:val="left"/>
      <w:pPr>
        <w:tabs>
          <w:tab w:val="left" w:pos="5040"/>
        </w:tabs>
        <w:ind w:left="5040" w:hanging="720"/>
      </w:pPr>
      <w:rPr>
        <w:rFonts w:hint="default"/>
        <w:caps w:val="0"/>
        <w:strike w:val="0"/>
        <w:vanish w:val="0"/>
        <w:color w:val="auto"/>
        <w:u w:val="none"/>
        <w:vertAlign w:val="baseline"/>
      </w:rPr>
    </w:lvl>
    <w:lvl w:ilvl="8" w:tentative="0">
      <w:start w:val="1"/>
      <w:numFmt w:val="lowerRoman"/>
      <w:pStyle w:val="10"/>
      <w:lvlText w:val="%9."/>
      <w:lvlJc w:val="right"/>
      <w:pPr>
        <w:tabs>
          <w:tab w:val="left" w:pos="5760"/>
        </w:tabs>
        <w:ind w:left="5760" w:hanging="576"/>
      </w:pPr>
      <w:rPr>
        <w:rFonts w:hint="default"/>
        <w:caps w:val="0"/>
        <w:strike w:val="0"/>
        <w:vanish w:val="0"/>
        <w:color w:val="auto"/>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MjZmMzNlY2QxZDJlNzcwMTcwOTM2YjYyMWQyNmMifQ=="/>
  </w:docVars>
  <w:rsids>
    <w:rsidRoot w:val="007A70EE"/>
    <w:rsid w:val="00014F82"/>
    <w:rsid w:val="000F79C9"/>
    <w:rsid w:val="00207BC5"/>
    <w:rsid w:val="00217EE7"/>
    <w:rsid w:val="002A78A7"/>
    <w:rsid w:val="003B04F5"/>
    <w:rsid w:val="003C37D6"/>
    <w:rsid w:val="003F2A97"/>
    <w:rsid w:val="0048695F"/>
    <w:rsid w:val="004F5563"/>
    <w:rsid w:val="005A25DE"/>
    <w:rsid w:val="006C4BFF"/>
    <w:rsid w:val="007A70EE"/>
    <w:rsid w:val="008C6B65"/>
    <w:rsid w:val="008D6216"/>
    <w:rsid w:val="00925D64"/>
    <w:rsid w:val="00954744"/>
    <w:rsid w:val="009B30E7"/>
    <w:rsid w:val="009D5BB7"/>
    <w:rsid w:val="00AC7DA0"/>
    <w:rsid w:val="00B12E10"/>
    <w:rsid w:val="00B627AF"/>
    <w:rsid w:val="00E847BD"/>
    <w:rsid w:val="00F71136"/>
    <w:rsid w:val="034B5C67"/>
    <w:rsid w:val="09193514"/>
    <w:rsid w:val="098A7634"/>
    <w:rsid w:val="0B9026B1"/>
    <w:rsid w:val="0BF06448"/>
    <w:rsid w:val="0CD52154"/>
    <w:rsid w:val="0FED59A3"/>
    <w:rsid w:val="17D03675"/>
    <w:rsid w:val="1C5F19D6"/>
    <w:rsid w:val="1CA23671"/>
    <w:rsid w:val="1E0F39EA"/>
    <w:rsid w:val="205542E8"/>
    <w:rsid w:val="27B27B12"/>
    <w:rsid w:val="2A2B114A"/>
    <w:rsid w:val="2C4F5437"/>
    <w:rsid w:val="2DE5301A"/>
    <w:rsid w:val="2DFA25CC"/>
    <w:rsid w:val="35161032"/>
    <w:rsid w:val="3E4F6F15"/>
    <w:rsid w:val="3E715289"/>
    <w:rsid w:val="44756A73"/>
    <w:rsid w:val="45401AF6"/>
    <w:rsid w:val="457B893A"/>
    <w:rsid w:val="4F1B2C5C"/>
    <w:rsid w:val="4FF7E64B"/>
    <w:rsid w:val="534C44AF"/>
    <w:rsid w:val="54CC6949"/>
    <w:rsid w:val="56C90A57"/>
    <w:rsid w:val="58A37384"/>
    <w:rsid w:val="5E2D3F81"/>
    <w:rsid w:val="5ECF9CB1"/>
    <w:rsid w:val="685E1FB6"/>
    <w:rsid w:val="6EEEEA7F"/>
    <w:rsid w:val="742A559B"/>
    <w:rsid w:val="784B0B27"/>
    <w:rsid w:val="78B43E4F"/>
    <w:rsid w:val="7F57B2F6"/>
    <w:rsid w:val="7FAC3558"/>
    <w:rsid w:val="7FCD933F"/>
    <w:rsid w:val="96BFE6C5"/>
    <w:rsid w:val="EB7E3875"/>
    <w:rsid w:val="FEFE9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sz w:val="21"/>
      <w:szCs w:val="22"/>
      <w:lang w:val="en-US" w:eastAsia="zh-CN" w:bidi="ar-SA"/>
    </w:rPr>
  </w:style>
  <w:style w:type="paragraph" w:styleId="2">
    <w:name w:val="heading 1"/>
    <w:basedOn w:val="1"/>
    <w:next w:val="3"/>
    <w:link w:val="191"/>
    <w:autoRedefine/>
    <w:qFormat/>
    <w:uiPriority w:val="0"/>
    <w:pPr>
      <w:keepNext/>
      <w:widowControl/>
      <w:numPr>
        <w:ilvl w:val="0"/>
        <w:numId w:val="1"/>
      </w:numPr>
      <w:spacing w:before="180" w:after="240"/>
      <w:outlineLvl w:val="0"/>
    </w:pPr>
    <w:rPr>
      <w:rFonts w:ascii="Sabon" w:hAnsi="Sabon"/>
      <w:b/>
      <w:caps/>
      <w:sz w:val="22"/>
      <w:szCs w:val="24"/>
      <w:lang w:eastAsia="en-US"/>
    </w:rPr>
  </w:style>
  <w:style w:type="paragraph" w:styleId="3">
    <w:name w:val="heading 2"/>
    <w:basedOn w:val="1"/>
    <w:next w:val="1"/>
    <w:link w:val="192"/>
    <w:autoRedefine/>
    <w:qFormat/>
    <w:uiPriority w:val="0"/>
    <w:pPr>
      <w:widowControl/>
      <w:numPr>
        <w:ilvl w:val="1"/>
        <w:numId w:val="1"/>
      </w:numPr>
      <w:spacing w:after="240"/>
      <w:outlineLvl w:val="1"/>
    </w:pPr>
    <w:rPr>
      <w:rFonts w:ascii="Sabon" w:hAnsi="Sabon"/>
      <w:bCs/>
      <w:iCs/>
      <w:sz w:val="22"/>
      <w:szCs w:val="28"/>
      <w:lang w:eastAsia="en-US"/>
    </w:rPr>
  </w:style>
  <w:style w:type="paragraph" w:styleId="4">
    <w:name w:val="heading 3"/>
    <w:basedOn w:val="1"/>
    <w:next w:val="1"/>
    <w:link w:val="193"/>
    <w:autoRedefine/>
    <w:qFormat/>
    <w:uiPriority w:val="0"/>
    <w:pPr>
      <w:widowControl/>
      <w:numPr>
        <w:ilvl w:val="2"/>
        <w:numId w:val="1"/>
      </w:numPr>
      <w:spacing w:after="240"/>
      <w:outlineLvl w:val="2"/>
    </w:pPr>
    <w:rPr>
      <w:rFonts w:ascii="Sabon" w:hAnsi="Sabon"/>
      <w:bCs/>
      <w:sz w:val="22"/>
      <w:szCs w:val="26"/>
      <w:lang w:eastAsia="en-US"/>
    </w:rPr>
  </w:style>
  <w:style w:type="paragraph" w:styleId="5">
    <w:name w:val="heading 4"/>
    <w:basedOn w:val="1"/>
    <w:next w:val="1"/>
    <w:link w:val="194"/>
    <w:autoRedefine/>
    <w:qFormat/>
    <w:uiPriority w:val="0"/>
    <w:pPr>
      <w:widowControl/>
      <w:numPr>
        <w:ilvl w:val="3"/>
        <w:numId w:val="1"/>
      </w:numPr>
      <w:spacing w:after="240"/>
      <w:outlineLvl w:val="3"/>
    </w:pPr>
    <w:rPr>
      <w:rFonts w:ascii="Sabon" w:hAnsi="Sabon"/>
      <w:bCs/>
      <w:sz w:val="22"/>
      <w:szCs w:val="28"/>
      <w:lang w:eastAsia="en-US"/>
    </w:rPr>
  </w:style>
  <w:style w:type="paragraph" w:styleId="6">
    <w:name w:val="heading 5"/>
    <w:basedOn w:val="1"/>
    <w:next w:val="1"/>
    <w:link w:val="195"/>
    <w:qFormat/>
    <w:uiPriority w:val="0"/>
    <w:pPr>
      <w:widowControl/>
      <w:numPr>
        <w:ilvl w:val="4"/>
        <w:numId w:val="1"/>
      </w:numPr>
      <w:spacing w:before="240" w:after="60"/>
      <w:outlineLvl w:val="4"/>
    </w:pPr>
    <w:rPr>
      <w:rFonts w:ascii="Sabon" w:hAnsi="Sabon"/>
      <w:b/>
      <w:bCs/>
      <w:i/>
      <w:iCs/>
      <w:sz w:val="26"/>
      <w:szCs w:val="26"/>
      <w:lang w:eastAsia="en-US"/>
    </w:rPr>
  </w:style>
  <w:style w:type="paragraph" w:styleId="7">
    <w:name w:val="heading 6"/>
    <w:basedOn w:val="1"/>
    <w:next w:val="1"/>
    <w:link w:val="196"/>
    <w:autoRedefine/>
    <w:qFormat/>
    <w:uiPriority w:val="0"/>
    <w:pPr>
      <w:widowControl/>
      <w:numPr>
        <w:ilvl w:val="5"/>
        <w:numId w:val="1"/>
      </w:numPr>
      <w:spacing w:before="240" w:after="60"/>
      <w:outlineLvl w:val="5"/>
    </w:pPr>
    <w:rPr>
      <w:rFonts w:ascii="Sabon" w:hAnsi="Sabon"/>
      <w:b/>
      <w:bCs/>
      <w:sz w:val="22"/>
      <w:lang w:eastAsia="en-US"/>
    </w:rPr>
  </w:style>
  <w:style w:type="paragraph" w:styleId="8">
    <w:name w:val="heading 7"/>
    <w:basedOn w:val="1"/>
    <w:next w:val="1"/>
    <w:link w:val="197"/>
    <w:autoRedefine/>
    <w:qFormat/>
    <w:uiPriority w:val="0"/>
    <w:pPr>
      <w:widowControl/>
      <w:numPr>
        <w:ilvl w:val="6"/>
        <w:numId w:val="1"/>
      </w:numPr>
      <w:spacing w:before="240" w:after="60"/>
      <w:outlineLvl w:val="6"/>
    </w:pPr>
    <w:rPr>
      <w:rFonts w:ascii="Sabon" w:hAnsi="Sabon"/>
      <w:sz w:val="22"/>
      <w:szCs w:val="24"/>
      <w:lang w:eastAsia="en-US"/>
    </w:rPr>
  </w:style>
  <w:style w:type="paragraph" w:styleId="9">
    <w:name w:val="heading 8"/>
    <w:basedOn w:val="1"/>
    <w:next w:val="1"/>
    <w:link w:val="198"/>
    <w:autoRedefine/>
    <w:qFormat/>
    <w:uiPriority w:val="0"/>
    <w:pPr>
      <w:widowControl/>
      <w:numPr>
        <w:ilvl w:val="7"/>
        <w:numId w:val="1"/>
      </w:numPr>
      <w:spacing w:before="240" w:after="60"/>
      <w:outlineLvl w:val="7"/>
    </w:pPr>
    <w:rPr>
      <w:rFonts w:ascii="Sabon" w:hAnsi="Sabon"/>
      <w:i/>
      <w:iCs/>
      <w:sz w:val="22"/>
      <w:szCs w:val="24"/>
      <w:lang w:eastAsia="en-US"/>
    </w:rPr>
  </w:style>
  <w:style w:type="paragraph" w:styleId="10">
    <w:name w:val="heading 9"/>
    <w:basedOn w:val="1"/>
    <w:next w:val="1"/>
    <w:link w:val="199"/>
    <w:autoRedefine/>
    <w:qFormat/>
    <w:uiPriority w:val="0"/>
    <w:pPr>
      <w:widowControl/>
      <w:numPr>
        <w:ilvl w:val="8"/>
        <w:numId w:val="1"/>
      </w:numPr>
      <w:spacing w:before="240" w:after="60"/>
      <w:outlineLvl w:val="8"/>
    </w:pPr>
    <w:rPr>
      <w:rFonts w:ascii="Arial" w:hAnsi="Arial"/>
      <w:sz w:val="22"/>
      <w:lang w:eastAsia="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89"/>
    <w:autoRedefine/>
    <w:qFormat/>
    <w:uiPriority w:val="0"/>
    <w:pPr>
      <w:jc w:val="left"/>
    </w:pPr>
  </w:style>
  <w:style w:type="paragraph" w:styleId="14">
    <w:name w:val="toc 5"/>
    <w:basedOn w:val="1"/>
    <w:next w:val="1"/>
    <w:autoRedefine/>
    <w:unhideWhenUsed/>
    <w:qFormat/>
    <w:uiPriority w:val="39"/>
    <w:pPr>
      <w:spacing w:after="57"/>
      <w:ind w:left="1134"/>
    </w:pPr>
  </w:style>
  <w:style w:type="paragraph" w:styleId="15">
    <w:name w:val="toc 3"/>
    <w:basedOn w:val="1"/>
    <w:next w:val="1"/>
    <w:autoRedefine/>
    <w:unhideWhenUsed/>
    <w:qFormat/>
    <w:uiPriority w:val="39"/>
    <w:pPr>
      <w:spacing w:after="57"/>
      <w:ind w:left="567"/>
    </w:pPr>
  </w:style>
  <w:style w:type="paragraph" w:styleId="16">
    <w:name w:val="toc 8"/>
    <w:basedOn w:val="1"/>
    <w:next w:val="1"/>
    <w:autoRedefine/>
    <w:unhideWhenUsed/>
    <w:qFormat/>
    <w:uiPriority w:val="39"/>
    <w:pPr>
      <w:spacing w:after="57"/>
      <w:ind w:left="1984"/>
    </w:pPr>
  </w:style>
  <w:style w:type="paragraph" w:styleId="17">
    <w:name w:val="endnote text"/>
    <w:basedOn w:val="1"/>
    <w:link w:val="184"/>
    <w:autoRedefine/>
    <w:semiHidden/>
    <w:unhideWhenUsed/>
    <w:qFormat/>
    <w:uiPriority w:val="99"/>
    <w:rPr>
      <w:sz w:val="20"/>
    </w:rPr>
  </w:style>
  <w:style w:type="paragraph" w:styleId="18">
    <w:name w:val="Balloon Text"/>
    <w:basedOn w:val="1"/>
    <w:link w:val="188"/>
    <w:autoRedefine/>
    <w:qFormat/>
    <w:uiPriority w:val="0"/>
    <w:rPr>
      <w:sz w:val="18"/>
      <w:szCs w:val="18"/>
    </w:rPr>
  </w:style>
  <w:style w:type="paragraph" w:styleId="19">
    <w:name w:val="footer"/>
    <w:basedOn w:val="1"/>
    <w:link w:val="187"/>
    <w:autoRedefine/>
    <w:unhideWhenUsed/>
    <w:qFormat/>
    <w:uiPriority w:val="99"/>
    <w:pPr>
      <w:tabs>
        <w:tab w:val="center" w:pos="4153"/>
        <w:tab w:val="right" w:pos="8306"/>
      </w:tabs>
      <w:jc w:val="left"/>
    </w:pPr>
    <w:rPr>
      <w:sz w:val="18"/>
      <w:szCs w:val="18"/>
    </w:rPr>
  </w:style>
  <w:style w:type="paragraph" w:styleId="20">
    <w:name w:val="header"/>
    <w:basedOn w:val="1"/>
    <w:link w:val="186"/>
    <w:autoRedefine/>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autoRedefine/>
    <w:unhideWhenUsed/>
    <w:qFormat/>
    <w:uiPriority w:val="39"/>
    <w:pPr>
      <w:spacing w:after="57"/>
    </w:pPr>
  </w:style>
  <w:style w:type="paragraph" w:styleId="22">
    <w:name w:val="toc 4"/>
    <w:basedOn w:val="1"/>
    <w:next w:val="1"/>
    <w:autoRedefine/>
    <w:unhideWhenUsed/>
    <w:qFormat/>
    <w:uiPriority w:val="39"/>
    <w:pPr>
      <w:spacing w:after="57"/>
      <w:ind w:left="850"/>
    </w:pPr>
  </w:style>
  <w:style w:type="paragraph" w:styleId="23">
    <w:name w:val="Subtitle"/>
    <w:basedOn w:val="1"/>
    <w:next w:val="1"/>
    <w:link w:val="50"/>
    <w:autoRedefine/>
    <w:qFormat/>
    <w:uiPriority w:val="11"/>
    <w:pPr>
      <w:spacing w:before="200" w:after="200"/>
    </w:pPr>
    <w:rPr>
      <w:sz w:val="24"/>
      <w:szCs w:val="24"/>
    </w:rPr>
  </w:style>
  <w:style w:type="paragraph" w:styleId="24">
    <w:name w:val="footnote text"/>
    <w:basedOn w:val="1"/>
    <w:link w:val="183"/>
    <w:autoRedefine/>
    <w:semiHidden/>
    <w:unhideWhenUsed/>
    <w:qFormat/>
    <w:uiPriority w:val="99"/>
    <w:pPr>
      <w:spacing w:after="40"/>
    </w:pPr>
    <w:rPr>
      <w:sz w:val="18"/>
    </w:rPr>
  </w:style>
  <w:style w:type="paragraph" w:styleId="25">
    <w:name w:val="toc 6"/>
    <w:basedOn w:val="1"/>
    <w:next w:val="1"/>
    <w:autoRedefine/>
    <w:unhideWhenUsed/>
    <w:qFormat/>
    <w:uiPriority w:val="39"/>
    <w:pPr>
      <w:spacing w:after="57"/>
      <w:ind w:left="1417"/>
    </w:pPr>
  </w:style>
  <w:style w:type="paragraph" w:styleId="26">
    <w:name w:val="table of figures"/>
    <w:basedOn w:val="1"/>
    <w:next w:val="1"/>
    <w:autoRedefine/>
    <w:unhideWhenUsed/>
    <w:qFormat/>
    <w:uiPriority w:val="99"/>
  </w:style>
  <w:style w:type="paragraph" w:styleId="27">
    <w:name w:val="toc 2"/>
    <w:basedOn w:val="1"/>
    <w:next w:val="1"/>
    <w:autoRedefine/>
    <w:unhideWhenUsed/>
    <w:qFormat/>
    <w:uiPriority w:val="39"/>
    <w:pPr>
      <w:spacing w:after="57"/>
      <w:ind w:left="283"/>
    </w:pPr>
  </w:style>
  <w:style w:type="paragraph" w:styleId="28">
    <w:name w:val="toc 9"/>
    <w:basedOn w:val="1"/>
    <w:next w:val="1"/>
    <w:autoRedefine/>
    <w:unhideWhenUsed/>
    <w:qFormat/>
    <w:uiPriority w:val="39"/>
    <w:pPr>
      <w:spacing w:after="57"/>
      <w:ind w:left="2268"/>
    </w:pPr>
  </w:style>
  <w:style w:type="paragraph" w:styleId="29">
    <w:name w:val="Title"/>
    <w:basedOn w:val="1"/>
    <w:next w:val="1"/>
    <w:link w:val="49"/>
    <w:autoRedefine/>
    <w:qFormat/>
    <w:uiPriority w:val="10"/>
    <w:pPr>
      <w:spacing w:before="300" w:after="200"/>
      <w:contextualSpacing/>
    </w:pPr>
    <w:rPr>
      <w:sz w:val="48"/>
      <w:szCs w:val="48"/>
    </w:rPr>
  </w:style>
  <w:style w:type="paragraph" w:styleId="30">
    <w:name w:val="annotation subject"/>
    <w:basedOn w:val="13"/>
    <w:next w:val="13"/>
    <w:link w:val="190"/>
    <w:autoRedefine/>
    <w:qFormat/>
    <w:uiPriority w:val="0"/>
    <w:rPr>
      <w:b/>
      <w:bCs/>
    </w:rPr>
  </w:style>
  <w:style w:type="table" w:styleId="32">
    <w:name w:val="Table Grid"/>
    <w:basedOn w:val="3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4">
    <w:name w:val="Strong"/>
    <w:autoRedefine/>
    <w:qFormat/>
    <w:uiPriority w:val="0"/>
    <w:rPr>
      <w:b/>
      <w:bCs/>
    </w:rPr>
  </w:style>
  <w:style w:type="character" w:styleId="35">
    <w:name w:val="endnote reference"/>
    <w:basedOn w:val="33"/>
    <w:autoRedefine/>
    <w:semiHidden/>
    <w:unhideWhenUsed/>
    <w:qFormat/>
    <w:uiPriority w:val="99"/>
    <w:rPr>
      <w:vertAlign w:val="superscript"/>
    </w:rPr>
  </w:style>
  <w:style w:type="character" w:styleId="36">
    <w:name w:val="Hyperlink"/>
    <w:autoRedefine/>
    <w:unhideWhenUsed/>
    <w:qFormat/>
    <w:uiPriority w:val="99"/>
    <w:rPr>
      <w:color w:val="0563C1" w:themeColor="hyperlink"/>
      <w:u w:val="single"/>
      <w14:textFill>
        <w14:solidFill>
          <w14:schemeClr w14:val="hlink"/>
        </w14:solidFill>
      </w14:textFill>
    </w:rPr>
  </w:style>
  <w:style w:type="character" w:styleId="37">
    <w:name w:val="annotation reference"/>
    <w:autoRedefine/>
    <w:qFormat/>
    <w:uiPriority w:val="0"/>
    <w:rPr>
      <w:sz w:val="21"/>
      <w:szCs w:val="21"/>
    </w:rPr>
  </w:style>
  <w:style w:type="character" w:styleId="38">
    <w:name w:val="footnote reference"/>
    <w:basedOn w:val="33"/>
    <w:autoRedefine/>
    <w:unhideWhenUsed/>
    <w:qFormat/>
    <w:uiPriority w:val="99"/>
    <w:rPr>
      <w:vertAlign w:val="superscript"/>
    </w:rPr>
  </w:style>
  <w:style w:type="character" w:customStyle="1" w:styleId="39">
    <w:name w:val="Heading 1 Char"/>
    <w:basedOn w:val="33"/>
    <w:qFormat/>
    <w:uiPriority w:val="9"/>
    <w:rPr>
      <w:rFonts w:ascii="Arial" w:hAnsi="Arial" w:eastAsia="Arial" w:cs="Arial"/>
      <w:sz w:val="40"/>
      <w:szCs w:val="40"/>
    </w:rPr>
  </w:style>
  <w:style w:type="character" w:customStyle="1" w:styleId="40">
    <w:name w:val="Heading 2 Char"/>
    <w:basedOn w:val="33"/>
    <w:autoRedefine/>
    <w:qFormat/>
    <w:uiPriority w:val="9"/>
    <w:rPr>
      <w:rFonts w:ascii="Arial" w:hAnsi="Arial" w:eastAsia="Arial" w:cs="Arial"/>
      <w:sz w:val="34"/>
    </w:rPr>
  </w:style>
  <w:style w:type="character" w:customStyle="1" w:styleId="41">
    <w:name w:val="Heading 3 Char"/>
    <w:basedOn w:val="33"/>
    <w:autoRedefine/>
    <w:qFormat/>
    <w:uiPriority w:val="9"/>
    <w:rPr>
      <w:rFonts w:ascii="Arial" w:hAnsi="Arial" w:eastAsia="Arial" w:cs="Arial"/>
      <w:sz w:val="30"/>
      <w:szCs w:val="30"/>
    </w:rPr>
  </w:style>
  <w:style w:type="character" w:customStyle="1" w:styleId="42">
    <w:name w:val="Heading 4 Char"/>
    <w:basedOn w:val="33"/>
    <w:autoRedefine/>
    <w:qFormat/>
    <w:uiPriority w:val="9"/>
    <w:rPr>
      <w:rFonts w:ascii="Arial" w:hAnsi="Arial" w:eastAsia="Arial" w:cs="Arial"/>
      <w:b/>
      <w:bCs/>
      <w:sz w:val="26"/>
      <w:szCs w:val="26"/>
    </w:rPr>
  </w:style>
  <w:style w:type="character" w:customStyle="1" w:styleId="43">
    <w:name w:val="Heading 5 Char"/>
    <w:basedOn w:val="33"/>
    <w:autoRedefine/>
    <w:qFormat/>
    <w:uiPriority w:val="9"/>
    <w:rPr>
      <w:rFonts w:ascii="Arial" w:hAnsi="Arial" w:eastAsia="Arial" w:cs="Arial"/>
      <w:b/>
      <w:bCs/>
      <w:sz w:val="24"/>
      <w:szCs w:val="24"/>
    </w:rPr>
  </w:style>
  <w:style w:type="character" w:customStyle="1" w:styleId="44">
    <w:name w:val="Heading 6 Char"/>
    <w:basedOn w:val="33"/>
    <w:autoRedefine/>
    <w:qFormat/>
    <w:uiPriority w:val="9"/>
    <w:rPr>
      <w:rFonts w:ascii="Arial" w:hAnsi="Arial" w:eastAsia="Arial" w:cs="Arial"/>
      <w:b/>
      <w:bCs/>
      <w:sz w:val="22"/>
      <w:szCs w:val="22"/>
    </w:rPr>
  </w:style>
  <w:style w:type="character" w:customStyle="1" w:styleId="45">
    <w:name w:val="Heading 7 Char"/>
    <w:basedOn w:val="33"/>
    <w:autoRedefine/>
    <w:qFormat/>
    <w:uiPriority w:val="9"/>
    <w:rPr>
      <w:rFonts w:ascii="Arial" w:hAnsi="Arial" w:eastAsia="Arial" w:cs="Arial"/>
      <w:b/>
      <w:bCs/>
      <w:i/>
      <w:iCs/>
      <w:sz w:val="22"/>
      <w:szCs w:val="22"/>
    </w:rPr>
  </w:style>
  <w:style w:type="character" w:customStyle="1" w:styleId="46">
    <w:name w:val="Heading 8 Char"/>
    <w:basedOn w:val="33"/>
    <w:autoRedefine/>
    <w:qFormat/>
    <w:uiPriority w:val="9"/>
    <w:rPr>
      <w:rFonts w:ascii="Arial" w:hAnsi="Arial" w:eastAsia="Arial" w:cs="Arial"/>
      <w:i/>
      <w:iCs/>
      <w:sz w:val="22"/>
      <w:szCs w:val="22"/>
    </w:rPr>
  </w:style>
  <w:style w:type="character" w:customStyle="1" w:styleId="47">
    <w:name w:val="Heading 9 Char"/>
    <w:basedOn w:val="33"/>
    <w:autoRedefine/>
    <w:qFormat/>
    <w:uiPriority w:val="9"/>
    <w:rPr>
      <w:rFonts w:ascii="Arial" w:hAnsi="Arial" w:eastAsia="Arial" w:cs="Arial"/>
      <w:i/>
      <w:iCs/>
      <w:sz w:val="21"/>
      <w:szCs w:val="21"/>
    </w:rPr>
  </w:style>
  <w:style w:type="paragraph" w:styleId="48">
    <w:name w:val="No Spacing"/>
    <w:autoRedefine/>
    <w:qFormat/>
    <w:uiPriority w:val="1"/>
    <w:rPr>
      <w:rFonts w:ascii="Calibri" w:hAnsi="Calibri" w:eastAsia="宋体" w:cs="Calibri"/>
      <w:lang w:val="en-US" w:eastAsia="zh-CN" w:bidi="ar-SA"/>
    </w:rPr>
  </w:style>
  <w:style w:type="character" w:customStyle="1" w:styleId="49">
    <w:name w:val="标题 字符"/>
    <w:basedOn w:val="33"/>
    <w:link w:val="29"/>
    <w:autoRedefine/>
    <w:qFormat/>
    <w:uiPriority w:val="10"/>
    <w:rPr>
      <w:sz w:val="48"/>
      <w:szCs w:val="48"/>
    </w:rPr>
  </w:style>
  <w:style w:type="character" w:customStyle="1" w:styleId="50">
    <w:name w:val="副标题 字符"/>
    <w:basedOn w:val="33"/>
    <w:link w:val="23"/>
    <w:autoRedefine/>
    <w:qFormat/>
    <w:uiPriority w:val="11"/>
    <w:rPr>
      <w:sz w:val="24"/>
      <w:szCs w:val="24"/>
    </w:rPr>
  </w:style>
  <w:style w:type="paragraph" w:styleId="51">
    <w:name w:val="Quote"/>
    <w:basedOn w:val="1"/>
    <w:next w:val="1"/>
    <w:link w:val="52"/>
    <w:autoRedefine/>
    <w:qFormat/>
    <w:uiPriority w:val="29"/>
    <w:pPr>
      <w:ind w:left="720" w:right="720"/>
    </w:pPr>
    <w:rPr>
      <w:i/>
    </w:rPr>
  </w:style>
  <w:style w:type="character" w:customStyle="1" w:styleId="52">
    <w:name w:val="引用 字符"/>
    <w:link w:val="51"/>
    <w:autoRedefine/>
    <w:qFormat/>
    <w:uiPriority w:val="29"/>
    <w:rPr>
      <w:i/>
    </w:rPr>
  </w:style>
  <w:style w:type="paragraph" w:styleId="53">
    <w:name w:val="Intense Quote"/>
    <w:basedOn w:val="1"/>
    <w:next w:val="1"/>
    <w:link w:val="54"/>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明显引用 字符"/>
    <w:link w:val="53"/>
    <w:autoRedefine/>
    <w:qFormat/>
    <w:uiPriority w:val="30"/>
    <w:rPr>
      <w:i/>
    </w:rPr>
  </w:style>
  <w:style w:type="character" w:customStyle="1" w:styleId="55">
    <w:name w:val="Header Char"/>
    <w:basedOn w:val="33"/>
    <w:autoRedefine/>
    <w:qFormat/>
    <w:uiPriority w:val="99"/>
  </w:style>
  <w:style w:type="character" w:customStyle="1" w:styleId="56">
    <w:name w:val="Footer Char"/>
    <w:basedOn w:val="33"/>
    <w:autoRedefine/>
    <w:qFormat/>
    <w:uiPriority w:val="99"/>
  </w:style>
  <w:style w:type="character" w:customStyle="1" w:styleId="57">
    <w:name w:val="Caption Char"/>
    <w:autoRedefine/>
    <w:qFormat/>
    <w:uiPriority w:val="99"/>
  </w:style>
  <w:style w:type="table" w:customStyle="1" w:styleId="58">
    <w:name w:val="Table Grid Light"/>
    <w:basedOn w:val="3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9">
    <w:name w:val="无格式表格 11"/>
    <w:basedOn w:val="3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无格式表格 21"/>
    <w:basedOn w:val="3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无格式表格 31"/>
    <w:basedOn w:val="31"/>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41"/>
    <w:basedOn w:val="31"/>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51"/>
    <w:basedOn w:val="31"/>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网格表 1 浅色1"/>
    <w:basedOn w:val="3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autoRedefine/>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6">
    <w:name w:val="Grid Table 1 Light - Accent 2"/>
    <w:basedOn w:val="31"/>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autoRedefine/>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70">
    <w:name w:val="Grid Table 1 Light - Accent 6"/>
    <w:basedOn w:val="31"/>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网格表 21"/>
    <w:basedOn w:val="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autoRedefine/>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3">
    <w:name w:val="Grid Table 2 - Accent 2"/>
    <w:basedOn w:val="31"/>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autoRedefine/>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7">
    <w:name w:val="Grid Table 2 - Accent 6"/>
    <w:basedOn w:val="31"/>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网格表 31"/>
    <w:basedOn w:val="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autoRedefine/>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0">
    <w:name w:val="Grid Table 3 - Accent 2"/>
    <w:basedOn w:val="31"/>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autoRedefine/>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4">
    <w:name w:val="Grid Table 3 - Accent 6"/>
    <w:basedOn w:val="31"/>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网格表 41"/>
    <w:basedOn w:val="3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autoRedefine/>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7">
    <w:name w:val="Grid Table 4 - Accent 2"/>
    <w:basedOn w:val="31"/>
    <w:autoRedefine/>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autoRedefine/>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autoRedefine/>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autoRedefine/>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1">
    <w:name w:val="Grid Table 4 - Accent 6"/>
    <w:basedOn w:val="31"/>
    <w:autoRedefine/>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网格表 5 深色1"/>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4">
    <w:name w:val="Grid Table 5 Dark - Accent 2"/>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8">
    <w:name w:val="Grid Table 5 Dark - Accent 6"/>
    <w:basedOn w:val="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网格表 6 彩色1"/>
    <w:basedOn w:val="3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autoRedefine/>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autoRedefine/>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3">
    <w:name w:val="Grid Table 6 Colorful - Accent 4"/>
    <w:basedOn w:val="31"/>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autoRedefine/>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5">
    <w:name w:val="Grid Table 6 Colorful - Accent 6"/>
    <w:basedOn w:val="31"/>
    <w:autoRedefine/>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6">
    <w:name w:val="网格表 7 彩色1"/>
    <w:basedOn w:val="3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autoRedefine/>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autoRedefine/>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autoRedefine/>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0">
    <w:name w:val="Grid Table 7 Colorful - Accent 4"/>
    <w:basedOn w:val="31"/>
    <w:autoRedefine/>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autoRedefine/>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2">
    <w:name w:val="Grid Table 7 Colorful - Accent 6"/>
    <w:basedOn w:val="31"/>
    <w:autoRedefine/>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清单表 1 浅色1"/>
    <w:basedOn w:val="31"/>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autoRedefine/>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5">
    <w:name w:val="List Table 1 Light - Accent 2"/>
    <w:basedOn w:val="31"/>
    <w:autoRedefine/>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autoRedefine/>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autoRedefine/>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autoRedefine/>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9">
    <w:name w:val="List Table 1 Light - Accent 6"/>
    <w:basedOn w:val="31"/>
    <w:autoRedefine/>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清单表 21"/>
    <w:basedOn w:val="31"/>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autoRedefine/>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2">
    <w:name w:val="List Table 2 - Accent 2"/>
    <w:basedOn w:val="31"/>
    <w:autoRedefine/>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autoRedefine/>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autoRedefine/>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autoRedefine/>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6">
    <w:name w:val="List Table 2 - Accent 6"/>
    <w:basedOn w:val="31"/>
    <w:autoRedefine/>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清单表 31"/>
    <w:basedOn w:val="3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autoRedefine/>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9">
    <w:name w:val="List Table 3 - Accent 2"/>
    <w:basedOn w:val="31"/>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autoRedefine/>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autoRedefine/>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3">
    <w:name w:val="List Table 3 - Accent 6"/>
    <w:basedOn w:val="31"/>
    <w:autoRedefine/>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清单表 41"/>
    <w:basedOn w:val="3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autoRedefine/>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6">
    <w:name w:val="List Table 4 - Accent 2"/>
    <w:basedOn w:val="31"/>
    <w:autoRedefine/>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autoRedefine/>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autoRedefine/>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autoRedefine/>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0">
    <w:name w:val="List Table 4 - Accent 6"/>
    <w:basedOn w:val="31"/>
    <w:autoRedefine/>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清单表 5 深色1"/>
    <w:basedOn w:val="31"/>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autoRedefine/>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3">
    <w:name w:val="List Table 5 Dark - Accent 2"/>
    <w:basedOn w:val="31"/>
    <w:autoRedefine/>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autoRedefine/>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autoRedefine/>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autoRedefine/>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7">
    <w:name w:val="List Table 5 Dark - Accent 6"/>
    <w:basedOn w:val="31"/>
    <w:autoRedefine/>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清单表 6 彩色1"/>
    <w:basedOn w:val="31"/>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autoRedefine/>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0">
    <w:name w:val="List Table 6 Colorful - Accent 2"/>
    <w:basedOn w:val="31"/>
    <w:autoRedefine/>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autoRedefine/>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autoRedefine/>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autoRedefine/>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autoRedefine/>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清单表 7 彩色1"/>
    <w:basedOn w:val="31"/>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autoRedefine/>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7">
    <w:name w:val="List Table 7 Colorful - Accent 2"/>
    <w:basedOn w:val="31"/>
    <w:autoRedefine/>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autoRedefine/>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autoRedefine/>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autoRedefine/>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autoRedefine/>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autoRedefine/>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4">
    <w:name w:val="Lined - Accent 2"/>
    <w:basedOn w:val="31"/>
    <w:autoRedefine/>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autoRedefine/>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autoRedefine/>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autoRedefine/>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8">
    <w:name w:val="Lined - Accent 6"/>
    <w:basedOn w:val="31"/>
    <w:autoRedefine/>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autoRedefine/>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1">
    <w:name w:val="Bordered &amp; Lined - Accent 2"/>
    <w:basedOn w:val="31"/>
    <w:autoRedefine/>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autoRedefine/>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autoRedefine/>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autoRedefine/>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5">
    <w:name w:val="Bordered &amp; Lined - Accent 6"/>
    <w:basedOn w:val="31"/>
    <w:autoRedefine/>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autoRedefine/>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8">
    <w:name w:val="Bordered - Accent 2"/>
    <w:basedOn w:val="31"/>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autoRedefine/>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2">
    <w:name w:val="Bordered - Accent 6"/>
    <w:basedOn w:val="31"/>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脚注文本 字符"/>
    <w:link w:val="24"/>
    <w:autoRedefine/>
    <w:qFormat/>
    <w:uiPriority w:val="99"/>
    <w:rPr>
      <w:sz w:val="18"/>
    </w:rPr>
  </w:style>
  <w:style w:type="character" w:customStyle="1" w:styleId="184">
    <w:name w:val="尾注文本 字符"/>
    <w:link w:val="17"/>
    <w:autoRedefine/>
    <w:qFormat/>
    <w:uiPriority w:val="99"/>
    <w:rPr>
      <w:sz w:val="20"/>
    </w:rPr>
  </w:style>
  <w:style w:type="paragraph" w:customStyle="1" w:styleId="185">
    <w:name w:val="TOC 标题1"/>
    <w:autoRedefine/>
    <w:unhideWhenUsed/>
    <w:qFormat/>
    <w:uiPriority w:val="39"/>
    <w:rPr>
      <w:rFonts w:ascii="Calibri" w:hAnsi="Calibri" w:eastAsia="宋体" w:cs="Calibri"/>
      <w:lang w:val="en-US" w:eastAsia="zh-CN" w:bidi="ar-SA"/>
    </w:rPr>
  </w:style>
  <w:style w:type="character" w:customStyle="1" w:styleId="186">
    <w:name w:val="页眉 字符"/>
    <w:link w:val="20"/>
    <w:autoRedefine/>
    <w:qFormat/>
    <w:uiPriority w:val="99"/>
    <w:rPr>
      <w:rFonts w:ascii="Calibri" w:hAnsi="Calibri" w:eastAsia="宋体"/>
      <w:sz w:val="18"/>
      <w:szCs w:val="18"/>
      <w:lang w:val="en-US" w:eastAsia="zh-CN" w:bidi="ar-SA"/>
    </w:rPr>
  </w:style>
  <w:style w:type="character" w:customStyle="1" w:styleId="187">
    <w:name w:val="页脚 字符"/>
    <w:link w:val="19"/>
    <w:autoRedefine/>
    <w:qFormat/>
    <w:uiPriority w:val="99"/>
    <w:rPr>
      <w:rFonts w:ascii="Calibri" w:hAnsi="Calibri" w:eastAsia="宋体"/>
      <w:sz w:val="18"/>
      <w:szCs w:val="18"/>
      <w:lang w:val="en-US" w:eastAsia="zh-CN" w:bidi="ar-SA"/>
    </w:rPr>
  </w:style>
  <w:style w:type="character" w:customStyle="1" w:styleId="188">
    <w:name w:val="批注框文本 字符"/>
    <w:link w:val="18"/>
    <w:autoRedefine/>
    <w:qFormat/>
    <w:uiPriority w:val="0"/>
    <w:rPr>
      <w:rFonts w:ascii="Calibri" w:hAnsi="Calibri"/>
      <w:sz w:val="18"/>
      <w:szCs w:val="18"/>
    </w:rPr>
  </w:style>
  <w:style w:type="character" w:customStyle="1" w:styleId="189">
    <w:name w:val="批注文字 字符"/>
    <w:link w:val="13"/>
    <w:autoRedefine/>
    <w:qFormat/>
    <w:uiPriority w:val="0"/>
    <w:rPr>
      <w:rFonts w:ascii="Calibri" w:hAnsi="Calibri"/>
      <w:sz w:val="21"/>
      <w:szCs w:val="22"/>
    </w:rPr>
  </w:style>
  <w:style w:type="character" w:customStyle="1" w:styleId="190">
    <w:name w:val="批注主题 字符"/>
    <w:link w:val="30"/>
    <w:autoRedefine/>
    <w:qFormat/>
    <w:uiPriority w:val="0"/>
    <w:rPr>
      <w:rFonts w:ascii="Calibri" w:hAnsi="Calibri"/>
      <w:b/>
      <w:bCs/>
      <w:sz w:val="21"/>
      <w:szCs w:val="22"/>
    </w:rPr>
  </w:style>
  <w:style w:type="character" w:customStyle="1" w:styleId="191">
    <w:name w:val="标题 1 字符"/>
    <w:link w:val="2"/>
    <w:autoRedefine/>
    <w:qFormat/>
    <w:uiPriority w:val="0"/>
    <w:rPr>
      <w:rFonts w:ascii="Sabon" w:hAnsi="Sabon"/>
      <w:b/>
      <w:caps/>
      <w:sz w:val="22"/>
      <w:szCs w:val="24"/>
      <w:lang w:eastAsia="en-US"/>
    </w:rPr>
  </w:style>
  <w:style w:type="character" w:customStyle="1" w:styleId="192">
    <w:name w:val="标题 2 字符"/>
    <w:link w:val="3"/>
    <w:autoRedefine/>
    <w:qFormat/>
    <w:uiPriority w:val="0"/>
    <w:rPr>
      <w:rFonts w:ascii="Sabon" w:hAnsi="Sabon"/>
      <w:bCs/>
      <w:iCs/>
      <w:sz w:val="22"/>
      <w:szCs w:val="28"/>
      <w:lang w:eastAsia="en-US"/>
    </w:rPr>
  </w:style>
  <w:style w:type="character" w:customStyle="1" w:styleId="193">
    <w:name w:val="标题 3 字符"/>
    <w:link w:val="4"/>
    <w:autoRedefine/>
    <w:qFormat/>
    <w:uiPriority w:val="0"/>
    <w:rPr>
      <w:rFonts w:ascii="Sabon" w:hAnsi="Sabon"/>
      <w:bCs/>
      <w:sz w:val="22"/>
      <w:szCs w:val="26"/>
      <w:lang w:eastAsia="en-US"/>
    </w:rPr>
  </w:style>
  <w:style w:type="character" w:customStyle="1" w:styleId="194">
    <w:name w:val="标题 4 字符"/>
    <w:link w:val="5"/>
    <w:autoRedefine/>
    <w:qFormat/>
    <w:uiPriority w:val="0"/>
    <w:rPr>
      <w:rFonts w:ascii="Sabon" w:hAnsi="Sabon"/>
      <w:bCs/>
      <w:sz w:val="22"/>
      <w:szCs w:val="28"/>
      <w:lang w:eastAsia="en-US"/>
    </w:rPr>
  </w:style>
  <w:style w:type="character" w:customStyle="1" w:styleId="195">
    <w:name w:val="标题 5 字符"/>
    <w:link w:val="6"/>
    <w:autoRedefine/>
    <w:qFormat/>
    <w:uiPriority w:val="0"/>
    <w:rPr>
      <w:rFonts w:ascii="Sabon" w:hAnsi="Sabon"/>
      <w:b/>
      <w:bCs/>
      <w:i/>
      <w:iCs/>
      <w:sz w:val="26"/>
      <w:szCs w:val="26"/>
      <w:lang w:eastAsia="en-US"/>
    </w:rPr>
  </w:style>
  <w:style w:type="character" w:customStyle="1" w:styleId="196">
    <w:name w:val="标题 6 字符"/>
    <w:link w:val="7"/>
    <w:autoRedefine/>
    <w:qFormat/>
    <w:uiPriority w:val="0"/>
    <w:rPr>
      <w:rFonts w:ascii="Sabon" w:hAnsi="Sabon"/>
      <w:b/>
      <w:bCs/>
      <w:sz w:val="22"/>
      <w:szCs w:val="22"/>
      <w:lang w:eastAsia="en-US"/>
    </w:rPr>
  </w:style>
  <w:style w:type="character" w:customStyle="1" w:styleId="197">
    <w:name w:val="标题 7 字符"/>
    <w:link w:val="8"/>
    <w:autoRedefine/>
    <w:qFormat/>
    <w:uiPriority w:val="0"/>
    <w:rPr>
      <w:rFonts w:ascii="Sabon" w:hAnsi="Sabon"/>
      <w:sz w:val="22"/>
      <w:szCs w:val="24"/>
      <w:lang w:eastAsia="en-US"/>
    </w:rPr>
  </w:style>
  <w:style w:type="character" w:customStyle="1" w:styleId="198">
    <w:name w:val="标题 8 字符"/>
    <w:link w:val="9"/>
    <w:qFormat/>
    <w:uiPriority w:val="0"/>
    <w:rPr>
      <w:rFonts w:ascii="Sabon" w:hAnsi="Sabon"/>
      <w:i/>
      <w:iCs/>
      <w:sz w:val="22"/>
      <w:szCs w:val="24"/>
      <w:lang w:eastAsia="en-US"/>
    </w:rPr>
  </w:style>
  <w:style w:type="character" w:customStyle="1" w:styleId="199">
    <w:name w:val="标题 9 字符"/>
    <w:link w:val="10"/>
    <w:autoRedefine/>
    <w:qFormat/>
    <w:uiPriority w:val="0"/>
    <w:rPr>
      <w:rFonts w:ascii="Arial" w:hAnsi="Arial"/>
      <w:sz w:val="22"/>
      <w:szCs w:val="22"/>
      <w:lang w:eastAsia="en-US"/>
    </w:rPr>
  </w:style>
  <w:style w:type="paragraph" w:customStyle="1" w:styleId="200">
    <w:name w:val="Indent 1.25cm"/>
    <w:basedOn w:val="1"/>
    <w:qFormat/>
    <w:uiPriority w:val="0"/>
    <w:pPr>
      <w:widowControl/>
      <w:spacing w:after="240"/>
      <w:ind w:left="709"/>
    </w:pPr>
    <w:rPr>
      <w:rFonts w:ascii="Sabon" w:hAnsi="Sabon"/>
      <w:sz w:val="22"/>
      <w:szCs w:val="20"/>
      <w:lang w:eastAsia="en-US"/>
    </w:rPr>
  </w:style>
  <w:style w:type="paragraph" w:customStyle="1" w:styleId="201">
    <w:name w:val="列出段落1"/>
    <w:basedOn w:val="1"/>
    <w:autoRedefine/>
    <w:qFormat/>
    <w:uiPriority w:val="0"/>
    <w:pPr>
      <w:ind w:left="720"/>
      <w:contextualSpacing/>
    </w:pPr>
    <w:rPr>
      <w:rFonts w:ascii="Times New Roman" w:hAnsi="Times New Roman"/>
      <w:szCs w:val="24"/>
    </w:rPr>
  </w:style>
  <w:style w:type="paragraph" w:customStyle="1" w:styleId="202">
    <w:name w:val="列出段落2"/>
    <w:basedOn w:val="1"/>
    <w:autoRedefine/>
    <w:qFormat/>
    <w:uiPriority w:val="0"/>
    <w:pPr>
      <w:widowControl/>
      <w:ind w:firstLine="420"/>
      <w:jc w:val="left"/>
    </w:pPr>
    <w:rPr>
      <w:rFonts w:ascii="Times New Roman" w:hAnsi="Times New Roman"/>
      <w:sz w:val="24"/>
      <w:szCs w:val="24"/>
      <w:lang w:eastAsia="en-US"/>
    </w:rPr>
  </w:style>
  <w:style w:type="paragraph" w:styleId="203">
    <w:name w:val="List Paragraph"/>
    <w:basedOn w:val="1"/>
    <w:autoRedefine/>
    <w:qFormat/>
    <w:uiPriority w:val="34"/>
    <w:pPr>
      <w:ind w:firstLine="420"/>
    </w:pPr>
  </w:style>
  <w:style w:type="table" w:customStyle="1" w:styleId="204">
    <w:name w:val="网格型浅色1"/>
    <w:basedOn w:val="31"/>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05">
    <w:name w:val="修订1"/>
    <w:autoRedefine/>
    <w:hidden/>
    <w:semiHidden/>
    <w:qFormat/>
    <w:uiPriority w:val="99"/>
    <w:rPr>
      <w:rFonts w:ascii="Calibri" w:hAnsi="Calibri" w:eastAsia="宋体" w:cs="Calibri"/>
      <w:sz w:val="21"/>
      <w:szCs w:val="22"/>
      <w:lang w:val="en-US" w:eastAsia="zh-CN" w:bidi="ar-SA"/>
    </w:rPr>
  </w:style>
  <w:style w:type="character" w:customStyle="1" w:styleId="206">
    <w:name w:val="cf01"/>
    <w:basedOn w:val="33"/>
    <w:autoRedefine/>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font script="Hans" typeface="宋体"/>
      </a:majorFont>
      <a:minorFont>
        <a:latin typeface="等线"/>
        <a:ea typeface="Arial"/>
        <a:cs typeface="Arial"/>
        <a:font script="Hans" typeface="宋体"/>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GCP</Company>
  <Pages>7</Pages>
  <Words>5142</Words>
  <Characters>5503</Characters>
  <Lines>43</Lines>
  <Paragraphs>12</Paragraphs>
  <TotalTime>0</TotalTime>
  <ScaleCrop>false</ScaleCrop>
  <LinksUpToDate>false</LinksUpToDate>
  <CharactersWithSpaces>5816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2024-06-20T15:54:00Z</dcterms:created>
  <dc:creator>Sean</dc:creator>
  <cp:lastModifiedBy>罗浛绮</cp:lastModifiedBy>
  <dcterms:modified xsi:type="dcterms:W3CDTF">2025-09-17T02:38:43Z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0x0101007969CFBECC14DE42A2E98E6567120E34</vt:lpwstr>
  </property>
  <property fmtid="{D5CDD505-2E9C-101B-9397-08002B2CF9AE}" pid="4" name="KSOProductBuildVer">
    <vt:lpwstr>2052-12.1.0.21915</vt:lpwstr>
  </property>
  <property fmtid="{D5CDD505-2E9C-101B-9397-08002B2CF9AE}" pid="5" name="ICV">
    <vt:lpwstr>C0FC4CE74267419DBE1A1E252B5D27CA_13</vt:lpwstr>
  </property>
  <property fmtid="{D5CDD505-2E9C-101B-9397-08002B2CF9AE}" pid="6" name="KSOTemplateDocerSaveRecord">
    <vt:lpwstr>eyJoZGlkIjoiNzZlMGFhODYyMTk2NjJjNWJmZDM3MzA2NzNkODNiNzIiLCJ1c2VySWQiOiI5MDc4MjY3NDgifQ==</vt:lpwstr>
  </property>
</Properties>
</file>