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p>
    <w:p>
      <w:pPr>
        <w:jc w:val="center"/>
        <w:rPr>
          <w:rFonts w:ascii="宋体" w:hAnsi="宋体"/>
          <w:b/>
          <w:sz w:val="36"/>
          <w:szCs w:val="36"/>
        </w:rPr>
      </w:pPr>
      <w:r>
        <w:rPr>
          <w:rFonts w:hint="eastAsia" w:ascii="宋体" w:hAnsi="宋体"/>
          <w:b/>
          <w:sz w:val="36"/>
          <w:szCs w:val="36"/>
        </w:rPr>
        <w:t>台州市立医院射线装置技术服务招标文件</w:t>
      </w:r>
    </w:p>
    <w:p>
      <w:pPr>
        <w:autoSpaceDE w:val="0"/>
        <w:autoSpaceDN w:val="0"/>
        <w:adjustRightInd w:val="0"/>
        <w:spacing w:line="360" w:lineRule="auto"/>
        <w:jc w:val="center"/>
        <w:rPr>
          <w:rFonts w:ascii="宋体" w:hAnsi="宋体"/>
          <w:b/>
          <w:bCs/>
          <w:sz w:val="30"/>
          <w:szCs w:val="30"/>
          <w:lang w:val="zh-CN"/>
        </w:rPr>
      </w:pPr>
      <w:r>
        <w:rPr>
          <w:rFonts w:hint="eastAsia" w:ascii="宋体" w:hAnsi="宋体"/>
          <w:b/>
          <w:bCs/>
          <w:sz w:val="30"/>
          <w:szCs w:val="30"/>
          <w:lang w:val="zh-CN"/>
        </w:rPr>
        <w:t>第一章 招标公告</w:t>
      </w:r>
    </w:p>
    <w:p>
      <w:pPr>
        <w:spacing w:line="360" w:lineRule="auto"/>
        <w:ind w:firstLine="480" w:firstLineChars="200"/>
        <w:rPr>
          <w:rFonts w:ascii="宋体" w:hAnsi="宋体"/>
          <w:sz w:val="24"/>
        </w:rPr>
      </w:pPr>
      <w:r>
        <w:rPr>
          <w:rFonts w:hint="eastAsia" w:ascii="宋体" w:hAnsi="宋体"/>
          <w:sz w:val="24"/>
        </w:rPr>
        <w:t>根据台州市立医院</w:t>
      </w:r>
      <w:r>
        <w:rPr>
          <w:rFonts w:hint="eastAsia" w:ascii="宋体" w:hAnsi="宋体"/>
          <w:sz w:val="24"/>
          <w:lang w:val="en-US" w:eastAsia="zh-CN"/>
        </w:rPr>
        <w:t>迁建工程</w:t>
      </w:r>
      <w:r>
        <w:rPr>
          <w:rFonts w:hint="eastAsia" w:ascii="宋体" w:hAnsi="宋体"/>
          <w:sz w:val="24"/>
        </w:rPr>
        <w:t xml:space="preserve">要求, </w:t>
      </w:r>
      <w:r>
        <w:rPr>
          <w:rFonts w:hint="eastAsia" w:ascii="宋体" w:hAnsi="宋体"/>
          <w:sz w:val="24"/>
          <w:lang w:val="en-US" w:eastAsia="zh-CN"/>
        </w:rPr>
        <w:t>拟对迁建工程职业病危害放射防护预评价和控制效果放射防护评价等射线装置技术</w:t>
      </w:r>
      <w:r>
        <w:rPr>
          <w:rFonts w:hint="eastAsia" w:ascii="宋体" w:hAnsi="宋体"/>
          <w:sz w:val="24"/>
        </w:rPr>
        <w:t>服务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ascii="宋体" w:hAnsi="宋体"/>
          <w:sz w:val="24"/>
          <w:highlight w:val="none"/>
          <w:u w:val="single"/>
        </w:rPr>
      </w:pPr>
      <w:r>
        <w:rPr>
          <w:rFonts w:hint="eastAsia" w:ascii="宋体" w:hAnsi="宋体"/>
          <w:sz w:val="24"/>
          <w:highlight w:val="none"/>
        </w:rPr>
        <w:t xml:space="preserve">项目编号: </w:t>
      </w:r>
    </w:p>
    <w:p>
      <w:pPr>
        <w:numPr>
          <w:ilvl w:val="0"/>
          <w:numId w:val="1"/>
        </w:numPr>
        <w:spacing w:line="360" w:lineRule="auto"/>
        <w:rPr>
          <w:rFonts w:ascii="宋体" w:hAnsi="宋体"/>
          <w:sz w:val="24"/>
        </w:rPr>
      </w:pPr>
      <w:r>
        <w:rPr>
          <w:rFonts w:hint="eastAsia" w:ascii="宋体" w:hAnsi="宋体"/>
          <w:sz w:val="24"/>
          <w:szCs w:val="24"/>
        </w:rPr>
        <w:t>采购组织类型：自行采购</w:t>
      </w:r>
    </w:p>
    <w:p>
      <w:pPr>
        <w:numPr>
          <w:ilvl w:val="0"/>
          <w:numId w:val="1"/>
        </w:numPr>
        <w:spacing w:line="360" w:lineRule="auto"/>
        <w:rPr>
          <w:rFonts w:ascii="宋体" w:hAnsi="宋体"/>
          <w:sz w:val="24"/>
        </w:rPr>
      </w:pPr>
      <w:r>
        <w:rPr>
          <w:rFonts w:hint="eastAsia" w:ascii="宋体" w:hAnsi="宋体"/>
          <w:sz w:val="24"/>
        </w:rPr>
        <w:t>采购方式：院内招标</w:t>
      </w:r>
    </w:p>
    <w:p>
      <w:pPr>
        <w:numPr>
          <w:ilvl w:val="0"/>
          <w:numId w:val="1"/>
        </w:numPr>
        <w:spacing w:line="360" w:lineRule="auto"/>
        <w:rPr>
          <w:rFonts w:ascii="宋体" w:hAnsi="宋体"/>
          <w:sz w:val="24"/>
        </w:rPr>
      </w:pPr>
      <w:r>
        <w:rPr>
          <w:rFonts w:ascii="宋体" w:hAnsi="宋体"/>
          <w:sz w:val="24"/>
        </w:rPr>
        <w:t>采购人</w:t>
      </w:r>
      <w:r>
        <w:rPr>
          <w:rFonts w:hint="eastAsia" w:ascii="宋体" w:hAnsi="宋体"/>
          <w:sz w:val="24"/>
        </w:rPr>
        <w:t>：</w:t>
      </w:r>
      <w:r>
        <w:rPr>
          <w:rFonts w:hint="eastAsia" w:ascii="宋体" w:hAnsi="宋体" w:cs="宋体"/>
          <w:b w:val="0"/>
          <w:bCs w:val="0"/>
          <w:color w:val="000000"/>
          <w:kern w:val="2"/>
          <w:sz w:val="24"/>
          <w:szCs w:val="32"/>
          <w:highlight w:val="none"/>
          <w:lang w:val="en-US" w:eastAsia="zh-CN"/>
        </w:rPr>
        <w:t>台州浙东医院有限公司，采购经办单位：台州市立医院</w:t>
      </w:r>
    </w:p>
    <w:p>
      <w:pPr>
        <w:numPr>
          <w:ilvl w:val="0"/>
          <w:numId w:val="1"/>
        </w:numPr>
        <w:spacing w:line="360" w:lineRule="auto"/>
        <w:rPr>
          <w:rFonts w:ascii="宋体" w:hAnsi="宋体"/>
          <w:sz w:val="24"/>
        </w:rPr>
      </w:pPr>
      <w:r>
        <w:rPr>
          <w:rFonts w:hint="eastAsia" w:ascii="宋体" w:hAnsi="宋体"/>
          <w:sz w:val="24"/>
        </w:rPr>
        <w:t>采购内容：射线装置技术服务。</w:t>
      </w:r>
    </w:p>
    <w:p>
      <w:pPr>
        <w:numPr>
          <w:ilvl w:val="0"/>
          <w:numId w:val="1"/>
        </w:numPr>
        <w:spacing w:line="360" w:lineRule="auto"/>
        <w:rPr>
          <w:rFonts w:ascii="宋体" w:hAnsi="宋体"/>
          <w:sz w:val="24"/>
        </w:rPr>
      </w:pPr>
      <w:r>
        <w:rPr>
          <w:rFonts w:ascii="宋体" w:hAnsi="宋体"/>
          <w:sz w:val="24"/>
        </w:rPr>
        <w:t>采购预算</w:t>
      </w:r>
      <w:r>
        <w:rPr>
          <w:rFonts w:hint="eastAsia" w:ascii="宋体" w:hAnsi="宋体"/>
          <w:sz w:val="24"/>
        </w:rPr>
        <w:t>及最高限价：</w:t>
      </w:r>
      <w:r>
        <w:rPr>
          <w:rFonts w:hint="eastAsia" w:ascii="宋体" w:hAnsi="宋体"/>
          <w:b w:val="0"/>
          <w:bCs/>
          <w:sz w:val="24"/>
          <w:szCs w:val="24"/>
        </w:rPr>
        <w:t>本项目设最高限价25万，</w:t>
      </w:r>
      <w:r>
        <w:rPr>
          <w:rFonts w:ascii="宋体" w:hAnsi="宋体"/>
          <w:b w:val="0"/>
          <w:bCs/>
          <w:sz w:val="24"/>
          <w:szCs w:val="24"/>
        </w:rPr>
        <w:t>投标报价</w:t>
      </w:r>
      <w:r>
        <w:rPr>
          <w:rFonts w:hint="eastAsia" w:ascii="宋体" w:hAnsi="宋体"/>
          <w:b w:val="0"/>
          <w:bCs/>
          <w:sz w:val="24"/>
          <w:szCs w:val="24"/>
        </w:rPr>
        <w:t>高于</w:t>
      </w:r>
      <w:r>
        <w:rPr>
          <w:rFonts w:ascii="宋体" w:hAnsi="宋体"/>
          <w:b w:val="0"/>
          <w:bCs/>
          <w:sz w:val="24"/>
          <w:szCs w:val="24"/>
        </w:rPr>
        <w:t>最</w:t>
      </w:r>
      <w:r>
        <w:rPr>
          <w:rFonts w:hint="eastAsia" w:ascii="宋体" w:hAnsi="宋体"/>
          <w:b w:val="0"/>
          <w:bCs/>
          <w:sz w:val="24"/>
          <w:szCs w:val="24"/>
        </w:rPr>
        <w:t>高</w:t>
      </w:r>
      <w:r>
        <w:rPr>
          <w:rFonts w:ascii="宋体" w:hAnsi="宋体"/>
          <w:b w:val="0"/>
          <w:bCs/>
          <w:sz w:val="24"/>
          <w:szCs w:val="24"/>
        </w:rPr>
        <w:t>限价的，其投标均为无效标</w:t>
      </w:r>
      <w:r>
        <w:rPr>
          <w:rFonts w:hint="eastAsia" w:ascii="宋体" w:hAnsi="宋体" w:cs="宋体"/>
          <w:kern w:val="0"/>
          <w:sz w:val="24"/>
          <w:szCs w:val="24"/>
        </w:rPr>
        <w:t>。</w:t>
      </w:r>
    </w:p>
    <w:p>
      <w:pPr>
        <w:numPr>
          <w:ilvl w:val="0"/>
          <w:numId w:val="1"/>
        </w:numPr>
        <w:spacing w:line="360" w:lineRule="auto"/>
        <w:rPr>
          <w:rFonts w:ascii="宋体" w:hAnsi="宋体"/>
          <w:sz w:val="24"/>
        </w:rPr>
      </w:pPr>
      <w:r>
        <w:rPr>
          <w:rFonts w:ascii="宋体" w:hAnsi="宋体" w:cs="宋体"/>
          <w:kern w:val="0"/>
          <w:sz w:val="24"/>
          <w:szCs w:val="24"/>
        </w:rPr>
        <w:t>评标</w:t>
      </w:r>
      <w:r>
        <w:rPr>
          <w:rFonts w:hint="eastAsia" w:ascii="宋体" w:hAnsi="宋体"/>
          <w:sz w:val="24"/>
        </w:rPr>
        <w:t>方法</w:t>
      </w:r>
      <w:r>
        <w:rPr>
          <w:rFonts w:hint="eastAsia" w:ascii="宋体" w:hAnsi="宋体" w:cs="宋体"/>
          <w:kern w:val="0"/>
          <w:sz w:val="24"/>
          <w:szCs w:val="24"/>
        </w:rPr>
        <w:t>：</w:t>
      </w:r>
      <w:r>
        <w:rPr>
          <w:rFonts w:ascii="宋体" w:hAnsi="宋体" w:cs="宋体"/>
          <w:kern w:val="0"/>
          <w:sz w:val="24"/>
          <w:szCs w:val="24"/>
        </w:rPr>
        <w:t>综合评分法</w:t>
      </w:r>
      <w:r>
        <w:rPr>
          <w:rFonts w:hint="eastAsia" w:ascii="宋体" w:hAnsi="宋体" w:cs="宋体"/>
          <w:kern w:val="0"/>
          <w:sz w:val="24"/>
          <w:szCs w:val="24"/>
        </w:rPr>
        <w:t>。</w:t>
      </w:r>
    </w:p>
    <w:p>
      <w:pPr>
        <w:numPr>
          <w:ilvl w:val="0"/>
          <w:numId w:val="1"/>
        </w:numPr>
        <w:spacing w:line="360" w:lineRule="auto"/>
        <w:rPr>
          <w:rFonts w:ascii="宋体" w:hAnsi="宋体"/>
          <w:sz w:val="24"/>
        </w:rPr>
      </w:pPr>
      <w:r>
        <w:rPr>
          <w:rFonts w:hint="eastAsia" w:ascii="宋体" w:hAnsi="宋体"/>
          <w:sz w:val="24"/>
        </w:rPr>
        <w:t>合作期限：</w:t>
      </w:r>
      <w:r>
        <w:rPr>
          <w:rFonts w:hint="eastAsia"/>
          <w:sz w:val="24"/>
          <w:szCs w:val="24"/>
        </w:rPr>
        <w:t>合同签订至出具评价报告</w:t>
      </w:r>
      <w:r>
        <w:rPr>
          <w:rFonts w:hint="eastAsia" w:ascii="宋体" w:hAnsi="宋体"/>
          <w:sz w:val="24"/>
        </w:rPr>
        <w:t>。</w:t>
      </w:r>
    </w:p>
    <w:p>
      <w:pPr>
        <w:numPr>
          <w:ilvl w:val="0"/>
          <w:numId w:val="1"/>
        </w:numPr>
        <w:spacing w:line="360" w:lineRule="auto"/>
        <w:rPr>
          <w:rFonts w:ascii="宋体" w:hAnsi="宋体"/>
          <w:sz w:val="24"/>
        </w:rPr>
      </w:pPr>
      <w:r>
        <w:rPr>
          <w:rFonts w:hint="eastAsia" w:ascii="宋体" w:hAnsi="宋体"/>
          <w:sz w:val="24"/>
        </w:rPr>
        <w:t>投标单位的资格要求：</w:t>
      </w:r>
    </w:p>
    <w:p>
      <w:pPr>
        <w:pStyle w:val="28"/>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1、国内具有独立法人资格。</w:t>
      </w:r>
    </w:p>
    <w:p>
      <w:pPr>
        <w:pStyle w:val="28"/>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符合《中华人民共和国政府采购法》第二十二条对供应商的要求。</w:t>
      </w:r>
    </w:p>
    <w:p>
      <w:pPr>
        <w:pStyle w:val="28"/>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具有本项目所需货物的服务能力，并能为招标人提供便捷的售后服务，本项目不接受联合体投标。</w:t>
      </w:r>
    </w:p>
    <w:p>
      <w:pPr>
        <w:pStyle w:val="28"/>
        <w:widowControl/>
        <w:spacing w:line="360" w:lineRule="auto"/>
        <w:ind w:left="480" w:firstLine="0" w:firstLineChars="0"/>
        <w:jc w:val="left"/>
        <w:rPr>
          <w:rFonts w:ascii="宋体" w:hAnsi="宋体"/>
          <w:sz w:val="24"/>
        </w:rPr>
      </w:pPr>
      <w:r>
        <w:rPr>
          <w:rFonts w:hint="eastAsia" w:ascii="宋体" w:hAnsi="宋体" w:cs="宋体"/>
          <w:kern w:val="0"/>
          <w:sz w:val="24"/>
          <w:szCs w:val="24"/>
        </w:rPr>
        <w:t>4、</w:t>
      </w:r>
      <w:r>
        <w:rPr>
          <w:rFonts w:hint="eastAsia" w:ascii="宋体" w:hAnsi="宋体"/>
          <w:sz w:val="24"/>
        </w:rPr>
        <w:t>参加政府采购活动前三年内，在经营活动中没有重大违法违规记录。违法违规记录的认定标准为：在公开网站上能查到的被财政部或浙江省财政厅处理（或处罚）而处于暂停政府采购资格期的或处于暂停承接业务资格期的；或存在被相关行政主管部门处罚记录的。</w:t>
      </w:r>
    </w:p>
    <w:p>
      <w:pPr>
        <w:pStyle w:val="28"/>
        <w:widowControl/>
        <w:spacing w:line="360" w:lineRule="auto"/>
        <w:ind w:left="480" w:firstLine="0" w:firstLineChars="0"/>
        <w:jc w:val="left"/>
        <w:rPr>
          <w:rFonts w:ascii="宋体" w:hAnsi="宋体"/>
          <w:color w:val="FF0000"/>
          <w:sz w:val="24"/>
          <w:szCs w:val="24"/>
        </w:rPr>
      </w:pPr>
      <w:r>
        <w:rPr>
          <w:rFonts w:hint="eastAsia" w:ascii="宋体" w:hAnsi="宋体"/>
          <w:sz w:val="24"/>
        </w:rPr>
        <w:t>5</w:t>
      </w:r>
      <w:r>
        <w:rPr>
          <w:rFonts w:hint="eastAsia" w:ascii="宋体" w:hAnsi="宋体"/>
          <w:sz w:val="24"/>
          <w:szCs w:val="24"/>
        </w:rPr>
        <w:t>、投标人具有放射卫生技术服务机构资质证书（甲级），投标人能够对本项目所有设备进行验收并通过评审。</w:t>
      </w:r>
    </w:p>
    <w:p>
      <w:pPr>
        <w:pStyle w:val="28"/>
        <w:widowControl/>
        <w:spacing w:line="360" w:lineRule="auto"/>
        <w:ind w:left="480" w:firstLine="0" w:firstLineChars="0"/>
        <w:jc w:val="left"/>
        <w:rPr>
          <w:rFonts w:ascii="宋体" w:hAnsi="宋体"/>
          <w:sz w:val="24"/>
          <w:szCs w:val="24"/>
        </w:rPr>
      </w:pPr>
      <w:r>
        <w:rPr>
          <w:rFonts w:hint="eastAsia" w:ascii="宋体" w:hAnsi="宋体"/>
          <w:sz w:val="24"/>
          <w:szCs w:val="24"/>
        </w:rPr>
        <w:t>6、投标人已在环境影响评价信用平台登记，且至少登记有1名及以上环评工程师。（提供环境影响评价信用平台截图及环评工程师证。）</w:t>
      </w:r>
    </w:p>
    <w:p>
      <w:pPr>
        <w:pStyle w:val="28"/>
        <w:numPr>
          <w:ilvl w:val="0"/>
          <w:numId w:val="1"/>
        </w:numPr>
        <w:spacing w:line="360" w:lineRule="auto"/>
        <w:ind w:firstLineChars="0"/>
        <w:rPr>
          <w:rFonts w:ascii="宋体" w:hAnsi="宋体"/>
          <w:sz w:val="24"/>
        </w:rPr>
      </w:pPr>
      <w:r>
        <w:rPr>
          <w:rFonts w:hint="eastAsia" w:ascii="宋体" w:hAnsi="宋体"/>
          <w:sz w:val="24"/>
        </w:rPr>
        <w:t>招标文件发放方式：台州市立医院网站</w:t>
      </w:r>
    </w:p>
    <w:p>
      <w:pPr>
        <w:pStyle w:val="28"/>
        <w:numPr>
          <w:ilvl w:val="0"/>
          <w:numId w:val="1"/>
        </w:numPr>
        <w:spacing w:line="360" w:lineRule="auto"/>
        <w:ind w:firstLineChars="0"/>
        <w:rPr>
          <w:rFonts w:ascii="宋体" w:hAnsi="宋体"/>
          <w:color w:val="auto"/>
          <w:sz w:val="24"/>
          <w:highlight w:val="none"/>
          <w:u w:val="none"/>
        </w:rPr>
      </w:pPr>
      <w:r>
        <w:rPr>
          <w:rFonts w:hint="eastAsia" w:ascii="宋体" w:hAnsi="宋体"/>
          <w:sz w:val="24"/>
        </w:rPr>
        <w:t>报名方式</w:t>
      </w:r>
      <w:r>
        <w:rPr>
          <w:rFonts w:ascii="宋体" w:hAnsi="宋体"/>
          <w:sz w:val="24"/>
        </w:rPr>
        <w:t>：</w:t>
      </w:r>
      <w:r>
        <w:rPr>
          <w:rFonts w:hint="eastAsia" w:ascii="宋体" w:hAnsi="宋体"/>
          <w:sz w:val="24"/>
        </w:rPr>
        <w:t>投标单位必须于</w:t>
      </w:r>
      <w:r>
        <w:rPr>
          <w:rFonts w:ascii="宋体" w:hAnsi="宋体"/>
          <w:sz w:val="24"/>
          <w:u w:val="none"/>
        </w:rPr>
        <w:t>202</w:t>
      </w:r>
      <w:r>
        <w:rPr>
          <w:rFonts w:hint="eastAsia" w:ascii="宋体" w:hAnsi="宋体"/>
          <w:sz w:val="24"/>
          <w:u w:val="none"/>
        </w:rPr>
        <w:t>2年</w:t>
      </w:r>
      <w:r>
        <w:rPr>
          <w:rFonts w:hint="eastAsia" w:ascii="宋体" w:hAnsi="宋体" w:cs="Tahoma"/>
          <w:color w:val="auto"/>
          <w:sz w:val="24"/>
          <w:highlight w:val="none"/>
          <w:u w:val="none"/>
          <w:lang w:val="en-US" w:eastAsia="zh-CN"/>
        </w:rPr>
        <w:t>11</w:t>
      </w:r>
      <w:r>
        <w:rPr>
          <w:rFonts w:hint="eastAsia" w:ascii="宋体" w:hAnsi="宋体" w:cs="Tahoma"/>
          <w:color w:val="auto"/>
          <w:sz w:val="24"/>
          <w:highlight w:val="none"/>
          <w:u w:val="none"/>
        </w:rPr>
        <w:t>月</w:t>
      </w:r>
      <w:r>
        <w:rPr>
          <w:rFonts w:hint="eastAsia" w:ascii="宋体" w:hAnsi="宋体" w:cs="Tahoma"/>
          <w:color w:val="auto"/>
          <w:sz w:val="24"/>
          <w:highlight w:val="none"/>
          <w:u w:val="none"/>
          <w:lang w:val="en-US" w:eastAsia="zh-CN"/>
        </w:rPr>
        <w:t>9</w:t>
      </w:r>
      <w:r>
        <w:rPr>
          <w:rFonts w:ascii="宋体" w:hAnsi="宋体"/>
          <w:color w:val="auto"/>
          <w:sz w:val="24"/>
          <w:highlight w:val="none"/>
          <w:u w:val="none"/>
        </w:rPr>
        <w:t xml:space="preserve"> </w:t>
      </w:r>
      <w:r>
        <w:rPr>
          <w:rFonts w:hint="eastAsia" w:ascii="宋体" w:hAnsi="宋体"/>
          <w:color w:val="auto"/>
          <w:sz w:val="24"/>
          <w:highlight w:val="none"/>
          <w:u w:val="none"/>
        </w:rPr>
        <w:t xml:space="preserve">日 </w:t>
      </w:r>
      <w:r>
        <w:rPr>
          <w:rFonts w:hint="eastAsia" w:ascii="宋体" w:hAnsi="宋体"/>
          <w:color w:val="auto"/>
          <w:sz w:val="24"/>
          <w:highlight w:val="none"/>
          <w:u w:val="none"/>
          <w:lang w:val="en-US" w:eastAsia="zh-CN"/>
        </w:rPr>
        <w:t>4:30</w:t>
      </w:r>
      <w:r>
        <w:rPr>
          <w:rFonts w:hint="eastAsia" w:ascii="宋体" w:hAnsi="宋体"/>
          <w:color w:val="auto"/>
          <w:sz w:val="24"/>
          <w:highlight w:val="none"/>
          <w:u w:val="none"/>
        </w:rPr>
        <w:t>之前将单位的组织机构代码证（加盖单位公章 红章）和授权投标人的身份证复印件（加盖单位公章）邮寄台州市立医院</w:t>
      </w:r>
      <w:r>
        <w:rPr>
          <w:rFonts w:hint="eastAsia" w:ascii="宋体" w:hAnsi="宋体" w:cs="Tahoma"/>
          <w:color w:val="auto"/>
          <w:sz w:val="24"/>
          <w:highlight w:val="none"/>
          <w:u w:val="none"/>
          <w:lang w:val="en-US" w:eastAsia="zh-CN"/>
        </w:rPr>
        <w:t>采购部曹老师</w:t>
      </w:r>
      <w:r>
        <w:rPr>
          <w:rFonts w:hint="eastAsia" w:ascii="宋体" w:hAnsi="宋体"/>
          <w:color w:val="auto"/>
          <w:sz w:val="24"/>
          <w:highlight w:val="none"/>
          <w:u w:val="none"/>
        </w:rPr>
        <w:t>电话报名，</w:t>
      </w:r>
      <w:r>
        <w:rPr>
          <w:rFonts w:hint="eastAsia" w:ascii="宋体" w:hAnsi="宋体"/>
          <w:color w:val="auto"/>
          <w:sz w:val="24"/>
          <w:highlight w:val="none"/>
          <w:u w:val="none"/>
          <w:lang w:val="en-US" w:eastAsia="zh-CN"/>
        </w:rPr>
        <w:t>联系电话：18958560571，</w:t>
      </w:r>
      <w:r>
        <w:rPr>
          <w:rFonts w:hint="eastAsia" w:ascii="宋体" w:hAnsi="宋体"/>
          <w:color w:val="auto"/>
          <w:sz w:val="24"/>
          <w:highlight w:val="none"/>
          <w:u w:val="none"/>
        </w:rPr>
        <w:t>复印件加盖公章的原件在开标当天补交。</w:t>
      </w:r>
    </w:p>
    <w:p>
      <w:pPr>
        <w:pStyle w:val="28"/>
        <w:numPr>
          <w:ilvl w:val="0"/>
          <w:numId w:val="1"/>
        </w:numPr>
        <w:spacing w:line="360" w:lineRule="auto"/>
        <w:ind w:firstLineChars="0"/>
        <w:rPr>
          <w:rFonts w:ascii="宋体" w:hAnsi="宋体"/>
          <w:color w:val="auto"/>
          <w:sz w:val="24"/>
          <w:highlight w:val="none"/>
          <w:u w:val="none"/>
        </w:rPr>
      </w:pPr>
      <w:r>
        <w:rPr>
          <w:rFonts w:hint="eastAsia" w:ascii="宋体" w:hAnsi="宋体"/>
          <w:color w:val="auto"/>
          <w:sz w:val="24"/>
          <w:highlight w:val="none"/>
          <w:u w:val="none"/>
        </w:rPr>
        <w:t xml:space="preserve">投标时间和地点： </w:t>
      </w:r>
    </w:p>
    <w:p>
      <w:pPr>
        <w:spacing w:line="360" w:lineRule="auto"/>
        <w:ind w:left="480"/>
        <w:rPr>
          <w:rFonts w:ascii="宋体" w:hAnsi="宋体"/>
          <w:color w:val="auto"/>
          <w:sz w:val="24"/>
          <w:highlight w:val="none"/>
          <w:u w:val="none"/>
        </w:rPr>
      </w:pPr>
      <w:r>
        <w:rPr>
          <w:rFonts w:hint="eastAsia" w:ascii="宋体" w:hAnsi="宋体"/>
          <w:color w:val="auto"/>
          <w:sz w:val="24"/>
          <w:highlight w:val="none"/>
          <w:u w:val="none"/>
        </w:rPr>
        <w:t>投标单位应于</w:t>
      </w:r>
      <w:r>
        <w:rPr>
          <w:rFonts w:ascii="宋体" w:hAnsi="宋体"/>
          <w:color w:val="auto"/>
          <w:sz w:val="24"/>
          <w:highlight w:val="none"/>
          <w:u w:val="none"/>
        </w:rPr>
        <w:t>202</w:t>
      </w:r>
      <w:r>
        <w:rPr>
          <w:rFonts w:hint="eastAsia" w:ascii="宋体" w:hAnsi="宋体"/>
          <w:color w:val="auto"/>
          <w:sz w:val="24"/>
          <w:highlight w:val="none"/>
          <w:u w:val="none"/>
        </w:rPr>
        <w:t>2年</w:t>
      </w:r>
      <w:r>
        <w:rPr>
          <w:rFonts w:ascii="宋体" w:hAnsi="宋体"/>
          <w:color w:val="auto"/>
          <w:sz w:val="24"/>
          <w:highlight w:val="none"/>
          <w:u w:val="none"/>
        </w:rPr>
        <w:t xml:space="preserve"> </w:t>
      </w:r>
      <w:r>
        <w:rPr>
          <w:rFonts w:hint="eastAsia" w:ascii="宋体" w:hAnsi="宋体"/>
          <w:color w:val="auto"/>
          <w:sz w:val="24"/>
          <w:highlight w:val="none"/>
          <w:u w:val="none"/>
          <w:lang w:val="en-US" w:eastAsia="zh-CN"/>
        </w:rPr>
        <w:t>11</w:t>
      </w:r>
      <w:r>
        <w:rPr>
          <w:rFonts w:hint="eastAsia" w:ascii="宋体" w:hAnsi="宋体"/>
          <w:color w:val="auto"/>
          <w:sz w:val="24"/>
          <w:highlight w:val="none"/>
          <w:u w:val="none"/>
        </w:rPr>
        <w:t>月</w:t>
      </w:r>
      <w:r>
        <w:rPr>
          <w:rFonts w:hint="eastAsia" w:ascii="宋体" w:hAnsi="宋体"/>
          <w:color w:val="auto"/>
          <w:sz w:val="24"/>
          <w:highlight w:val="none"/>
          <w:u w:val="none"/>
          <w:lang w:val="en-US" w:eastAsia="zh-CN"/>
        </w:rPr>
        <w:t>10</w:t>
      </w:r>
      <w:r>
        <w:rPr>
          <w:rFonts w:hint="eastAsia" w:ascii="宋体" w:hAnsi="宋体"/>
          <w:color w:val="auto"/>
          <w:sz w:val="24"/>
          <w:highlight w:val="none"/>
          <w:u w:val="none"/>
        </w:rPr>
        <w:t>日</w:t>
      </w:r>
      <w:r>
        <w:rPr>
          <w:rFonts w:hint="eastAsia" w:ascii="宋体" w:hAnsi="宋体"/>
          <w:color w:val="auto"/>
          <w:sz w:val="24"/>
          <w:highlight w:val="none"/>
          <w:u w:val="none"/>
          <w:lang w:val="en-US" w:eastAsia="zh-CN"/>
        </w:rPr>
        <w:t>下午</w:t>
      </w:r>
      <w:bookmarkStart w:id="3" w:name="_GoBack"/>
      <w:bookmarkEnd w:id="3"/>
      <w:r>
        <w:rPr>
          <w:rFonts w:hint="eastAsia" w:ascii="宋体" w:hAnsi="宋体"/>
          <w:color w:val="auto"/>
          <w:sz w:val="24"/>
          <w:highlight w:val="none"/>
          <w:u w:val="none"/>
        </w:rPr>
        <w:t xml:space="preserve"> </w:t>
      </w:r>
      <w:r>
        <w:rPr>
          <w:rFonts w:hint="eastAsia" w:ascii="宋体" w:hAnsi="宋体"/>
          <w:color w:val="auto"/>
          <w:sz w:val="24"/>
          <w:highlight w:val="none"/>
          <w:u w:val="none"/>
          <w:lang w:val="en-US" w:eastAsia="zh-CN"/>
        </w:rPr>
        <w:t>4:30</w:t>
      </w:r>
      <w:r>
        <w:rPr>
          <w:rFonts w:hint="eastAsia" w:ascii="宋体" w:hAnsi="宋体"/>
          <w:color w:val="auto"/>
          <w:sz w:val="24"/>
          <w:highlight w:val="none"/>
          <w:u w:val="none"/>
        </w:rPr>
        <w:t>前将投标文件密封交到投标地点。</w:t>
      </w:r>
    </w:p>
    <w:p>
      <w:pPr>
        <w:spacing w:line="360" w:lineRule="auto"/>
        <w:ind w:left="480"/>
        <w:rPr>
          <w:rFonts w:ascii="宋体" w:hAnsi="宋体"/>
          <w:color w:val="auto"/>
          <w:sz w:val="24"/>
          <w:highlight w:val="none"/>
          <w:u w:val="none"/>
        </w:rPr>
      </w:pPr>
      <w:r>
        <w:rPr>
          <w:rFonts w:hint="eastAsia" w:ascii="宋体" w:hAnsi="宋体"/>
          <w:color w:val="auto"/>
          <w:sz w:val="24"/>
          <w:highlight w:val="none"/>
          <w:u w:val="none"/>
        </w:rPr>
        <w:t>投标地点：快递邮寄或开标当天投标至台州市立医院</w:t>
      </w:r>
      <w:r>
        <w:rPr>
          <w:rFonts w:hint="eastAsia" w:ascii="宋体" w:hAnsi="宋体"/>
          <w:color w:val="auto"/>
          <w:sz w:val="24"/>
          <w:highlight w:val="none"/>
          <w:u w:val="none"/>
          <w:lang w:val="en-US" w:eastAsia="zh-CN"/>
        </w:rPr>
        <w:t>采购部，浙江省台州市椒江区中山东路381-1号</w:t>
      </w:r>
      <w:r>
        <w:rPr>
          <w:rFonts w:hint="eastAsia" w:ascii="宋体" w:hAnsi="宋体"/>
          <w:color w:val="auto"/>
          <w:sz w:val="24"/>
          <w:highlight w:val="none"/>
          <w:u w:val="none"/>
        </w:rPr>
        <w:t>。</w:t>
      </w:r>
    </w:p>
    <w:p>
      <w:pPr>
        <w:numPr>
          <w:ilvl w:val="0"/>
          <w:numId w:val="1"/>
        </w:numPr>
        <w:tabs>
          <w:tab w:val="left" w:pos="426"/>
          <w:tab w:val="clear" w:pos="480"/>
        </w:tabs>
        <w:spacing w:line="360" w:lineRule="auto"/>
        <w:rPr>
          <w:rFonts w:ascii="宋体" w:hAnsi="宋体"/>
          <w:color w:val="auto"/>
          <w:sz w:val="24"/>
          <w:highlight w:val="none"/>
          <w:u w:val="none"/>
        </w:rPr>
      </w:pPr>
      <w:r>
        <w:rPr>
          <w:rFonts w:hint="eastAsia" w:ascii="宋体" w:hAnsi="宋体"/>
          <w:color w:val="auto"/>
          <w:sz w:val="24"/>
          <w:highlight w:val="none"/>
          <w:u w:val="none"/>
        </w:rPr>
        <w:t>开标时间和地点：</w:t>
      </w:r>
    </w:p>
    <w:p>
      <w:pPr>
        <w:spacing w:line="360" w:lineRule="auto"/>
        <w:ind w:left="480"/>
        <w:rPr>
          <w:rFonts w:ascii="宋体" w:hAnsi="宋体"/>
          <w:color w:val="auto"/>
          <w:sz w:val="24"/>
          <w:highlight w:val="none"/>
          <w:u w:val="none"/>
        </w:rPr>
      </w:pPr>
      <w:r>
        <w:rPr>
          <w:rFonts w:hint="eastAsia" w:ascii="宋体" w:hAnsi="宋体"/>
          <w:color w:val="auto"/>
          <w:sz w:val="24"/>
          <w:highlight w:val="none"/>
          <w:u w:val="none"/>
        </w:rPr>
        <w:t>开标时间：</w:t>
      </w:r>
      <w:r>
        <w:rPr>
          <w:rFonts w:ascii="宋体" w:hAnsi="宋体"/>
          <w:color w:val="auto"/>
          <w:sz w:val="24"/>
          <w:highlight w:val="none"/>
          <w:u w:val="none"/>
        </w:rPr>
        <w:t>202</w:t>
      </w:r>
      <w:r>
        <w:rPr>
          <w:rFonts w:hint="eastAsia" w:ascii="宋体" w:hAnsi="宋体"/>
          <w:color w:val="auto"/>
          <w:sz w:val="24"/>
          <w:highlight w:val="none"/>
          <w:u w:val="none"/>
        </w:rPr>
        <w:t>2年</w:t>
      </w:r>
      <w:r>
        <w:rPr>
          <w:rFonts w:ascii="宋体" w:hAnsi="宋体"/>
          <w:color w:val="auto"/>
          <w:sz w:val="24"/>
          <w:highlight w:val="none"/>
          <w:u w:val="none"/>
        </w:rPr>
        <w:t xml:space="preserve"> </w:t>
      </w:r>
      <w:r>
        <w:rPr>
          <w:rFonts w:hint="eastAsia" w:ascii="宋体" w:hAnsi="宋体"/>
          <w:color w:val="auto"/>
          <w:sz w:val="24"/>
          <w:highlight w:val="none"/>
          <w:u w:val="none"/>
          <w:lang w:val="en-US" w:eastAsia="zh-CN"/>
        </w:rPr>
        <w:t>11</w:t>
      </w:r>
      <w:r>
        <w:rPr>
          <w:rFonts w:hint="eastAsia" w:ascii="宋体" w:hAnsi="宋体"/>
          <w:color w:val="auto"/>
          <w:sz w:val="24"/>
          <w:highlight w:val="none"/>
          <w:u w:val="none"/>
        </w:rPr>
        <w:t>月</w:t>
      </w:r>
      <w:r>
        <w:rPr>
          <w:rFonts w:hint="eastAsia" w:ascii="宋体" w:hAnsi="宋体"/>
          <w:b/>
          <w:bCs/>
          <w:color w:val="auto"/>
          <w:sz w:val="24"/>
          <w:highlight w:val="none"/>
          <w:u w:val="none"/>
          <w:lang w:val="en-US" w:eastAsia="zh-CN"/>
        </w:rPr>
        <w:t>11</w:t>
      </w:r>
      <w:r>
        <w:rPr>
          <w:rFonts w:hint="eastAsia" w:ascii="宋体" w:hAnsi="宋体"/>
          <w:b/>
          <w:bCs/>
          <w:color w:val="auto"/>
          <w:sz w:val="24"/>
          <w:highlight w:val="none"/>
          <w:u w:val="none"/>
        </w:rPr>
        <w:t>日</w:t>
      </w:r>
      <w:r>
        <w:rPr>
          <w:rFonts w:hint="eastAsia" w:ascii="宋体" w:hAnsi="宋体"/>
          <w:color w:val="auto"/>
          <w:sz w:val="24"/>
          <w:highlight w:val="none"/>
          <w:u w:val="none"/>
        </w:rPr>
        <w:t xml:space="preserve"> 上午</w:t>
      </w:r>
      <w:r>
        <w:rPr>
          <w:rFonts w:ascii="宋体" w:hAnsi="宋体"/>
          <w:color w:val="auto"/>
          <w:sz w:val="24"/>
          <w:highlight w:val="none"/>
          <w:u w:val="none"/>
        </w:rPr>
        <w:t>9</w:t>
      </w:r>
      <w:r>
        <w:rPr>
          <w:rFonts w:hint="eastAsia" w:ascii="宋体" w:hAnsi="宋体"/>
          <w:color w:val="auto"/>
          <w:sz w:val="24"/>
          <w:highlight w:val="none"/>
          <w:u w:val="none"/>
        </w:rPr>
        <w:t xml:space="preserve">:00 </w:t>
      </w:r>
    </w:p>
    <w:p>
      <w:pPr>
        <w:spacing w:line="360" w:lineRule="auto"/>
        <w:ind w:left="480"/>
        <w:rPr>
          <w:rFonts w:hint="default" w:ascii="宋体" w:hAnsi="宋体" w:eastAsia="宋体"/>
          <w:sz w:val="24"/>
          <w:highlight w:val="none"/>
          <w:u w:val="none"/>
          <w:lang w:val="en-US" w:eastAsia="zh-CN"/>
        </w:rPr>
      </w:pPr>
      <w:r>
        <w:rPr>
          <w:rFonts w:hint="eastAsia" w:ascii="宋体" w:hAnsi="宋体"/>
          <w:sz w:val="24"/>
        </w:rPr>
        <w:t>开标地点：</w:t>
      </w:r>
      <w:r>
        <w:rPr>
          <w:rFonts w:hint="eastAsia" w:ascii="宋体" w:hAnsi="宋体"/>
          <w:sz w:val="24"/>
          <w:highlight w:val="none"/>
          <w:u w:val="none"/>
        </w:rPr>
        <w:t>台州市立医院</w:t>
      </w:r>
      <w:r>
        <w:rPr>
          <w:rFonts w:hint="eastAsia" w:ascii="宋体" w:hAnsi="宋体"/>
          <w:sz w:val="24"/>
          <w:highlight w:val="none"/>
          <w:u w:val="none"/>
          <w:lang w:val="en-US" w:eastAsia="zh-CN"/>
        </w:rPr>
        <w:t>门诊大楼12楼会议室</w:t>
      </w:r>
    </w:p>
    <w:p>
      <w:pPr>
        <w:numPr>
          <w:ilvl w:val="0"/>
          <w:numId w:val="1"/>
        </w:numPr>
        <w:tabs>
          <w:tab w:val="left" w:pos="426"/>
          <w:tab w:val="clear" w:pos="480"/>
        </w:tabs>
        <w:spacing w:line="360" w:lineRule="auto"/>
        <w:rPr>
          <w:rFonts w:ascii="宋体" w:hAnsi="宋体"/>
          <w:sz w:val="24"/>
        </w:rPr>
      </w:pPr>
      <w:r>
        <w:rPr>
          <w:rFonts w:hint="eastAsia" w:ascii="宋体" w:hAnsi="宋体"/>
          <w:sz w:val="24"/>
        </w:rPr>
        <w:t>联系地址和电话：</w:t>
      </w:r>
    </w:p>
    <w:p>
      <w:pPr>
        <w:spacing w:line="360" w:lineRule="auto"/>
        <w:ind w:left="480"/>
        <w:rPr>
          <w:rFonts w:ascii="宋体" w:hAnsi="宋体"/>
          <w:sz w:val="24"/>
        </w:rPr>
      </w:pPr>
      <w:r>
        <w:rPr>
          <w:rFonts w:hint="eastAsia" w:ascii="宋体" w:hAnsi="宋体"/>
          <w:sz w:val="24"/>
        </w:rPr>
        <w:t>地  址：</w:t>
      </w:r>
      <w:r>
        <w:rPr>
          <w:rFonts w:hint="eastAsia" w:ascii="宋体" w:hAnsi="宋体"/>
          <w:sz w:val="24"/>
          <w:highlight w:val="none"/>
          <w:u w:val="none"/>
          <w:lang w:val="en-US" w:eastAsia="zh-CN"/>
        </w:rPr>
        <w:t>浙江省台州市椒江区中山东路381-1号</w:t>
      </w:r>
    </w:p>
    <w:p>
      <w:pPr>
        <w:spacing w:line="360" w:lineRule="auto"/>
        <w:ind w:left="480"/>
        <w:rPr>
          <w:rFonts w:ascii="宋体" w:hAnsi="宋体"/>
          <w:sz w:val="24"/>
        </w:rPr>
      </w:pPr>
      <w:r>
        <w:rPr>
          <w:rFonts w:hint="eastAsia" w:ascii="宋体" w:hAnsi="宋体"/>
          <w:sz w:val="24"/>
        </w:rPr>
        <w:t>联系人：</w:t>
      </w:r>
      <w:r>
        <w:rPr>
          <w:rFonts w:hint="eastAsia" w:ascii="宋体" w:hAnsi="宋体" w:cs="Tahoma"/>
          <w:sz w:val="24"/>
          <w:highlight w:val="none"/>
          <w:u w:val="none"/>
          <w:lang w:val="en-US" w:eastAsia="zh-CN"/>
        </w:rPr>
        <w:t>曹老师</w:t>
      </w:r>
    </w:p>
    <w:p>
      <w:pPr>
        <w:spacing w:line="360" w:lineRule="auto"/>
        <w:ind w:left="480"/>
        <w:rPr>
          <w:rFonts w:ascii="宋体" w:hAnsi="宋体"/>
          <w:sz w:val="24"/>
          <w:u w:val="single"/>
        </w:rPr>
      </w:pPr>
      <w:r>
        <w:rPr>
          <w:rFonts w:hint="eastAsia" w:ascii="宋体" w:hAnsi="宋体"/>
          <w:sz w:val="24"/>
        </w:rPr>
        <w:t>联系电话：</w:t>
      </w:r>
      <w:r>
        <w:rPr>
          <w:rFonts w:hint="eastAsia" w:ascii="宋体" w:hAnsi="宋体"/>
          <w:sz w:val="24"/>
          <w:lang w:val="en-US" w:eastAsia="zh-CN"/>
        </w:rPr>
        <w:t>18958560571</w:t>
      </w:r>
    </w:p>
    <w:p>
      <w:pPr>
        <w:widowControl/>
        <w:spacing w:line="420" w:lineRule="atLeast"/>
        <w:rPr>
          <w:rFonts w:ascii="宋体" w:hAnsi="宋体"/>
          <w:sz w:val="24"/>
        </w:rPr>
      </w:pPr>
      <w:r>
        <w:rPr>
          <w:rFonts w:ascii="宋体" w:hAnsi="宋体"/>
          <w:sz w:val="24"/>
        </w:rPr>
        <w:t>十五</w:t>
      </w:r>
      <w:r>
        <w:rPr>
          <w:rFonts w:hint="eastAsia" w:ascii="宋体" w:hAnsi="宋体"/>
          <w:sz w:val="24"/>
        </w:rPr>
        <w:t>、</w:t>
      </w:r>
      <w:r>
        <w:rPr>
          <w:rFonts w:ascii="宋体" w:hAnsi="宋体"/>
          <w:sz w:val="24"/>
        </w:rPr>
        <w:t>其他</w:t>
      </w:r>
    </w:p>
    <w:p>
      <w:pPr>
        <w:widowControl/>
        <w:spacing w:line="420" w:lineRule="atLeast"/>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w:t>
      </w:r>
      <w:r>
        <w:rPr>
          <w:rFonts w:ascii="宋体" w:hAnsi="宋体"/>
          <w:sz w:val="24"/>
        </w:rPr>
        <w:t>“★”标记系指必须满足不能负偏离或必须应答的条款。如不能响应</w:t>
      </w:r>
      <w:r>
        <w:rPr>
          <w:rFonts w:hint="eastAsia" w:ascii="宋体" w:hAnsi="宋体"/>
          <w:sz w:val="24"/>
        </w:rPr>
        <w:t>，</w:t>
      </w:r>
      <w:r>
        <w:rPr>
          <w:rFonts w:ascii="宋体" w:hAnsi="宋体"/>
          <w:sz w:val="24"/>
        </w:rPr>
        <w:t>作废标处理</w:t>
      </w:r>
      <w:r>
        <w:rPr>
          <w:rFonts w:hint="eastAsia" w:ascii="宋体" w:hAnsi="宋体"/>
          <w:sz w:val="24"/>
        </w:rPr>
        <w:t>。</w:t>
      </w: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autoSpaceDE w:val="0"/>
        <w:autoSpaceDN w:val="0"/>
        <w:adjustRightInd w:val="0"/>
        <w:spacing w:line="360" w:lineRule="auto"/>
        <w:jc w:val="center"/>
        <w:rPr>
          <w:rFonts w:ascii="宋体" w:hAnsi="宋体"/>
          <w:b/>
          <w:bCs/>
          <w:sz w:val="30"/>
          <w:szCs w:val="30"/>
          <w:lang w:val="zh-CN"/>
        </w:rPr>
      </w:pPr>
      <w:r>
        <w:rPr>
          <w:rFonts w:ascii="宋体" w:hAnsi="宋体"/>
          <w:b/>
          <w:bCs/>
          <w:sz w:val="30"/>
          <w:szCs w:val="30"/>
          <w:lang w:val="zh-CN"/>
        </w:rPr>
        <w:t>第二章</w:t>
      </w:r>
      <w:r>
        <w:rPr>
          <w:rFonts w:hint="eastAsia" w:ascii="宋体" w:hAnsi="宋体"/>
          <w:b/>
          <w:bCs/>
          <w:sz w:val="30"/>
          <w:szCs w:val="30"/>
          <w:lang w:val="zh-CN"/>
        </w:rPr>
        <w:t xml:space="preserve"> </w:t>
      </w:r>
      <w:r>
        <w:rPr>
          <w:rFonts w:ascii="宋体" w:hAnsi="宋体"/>
          <w:b/>
          <w:bCs/>
          <w:sz w:val="30"/>
          <w:szCs w:val="30"/>
          <w:lang w:val="zh-CN"/>
        </w:rPr>
        <w:t>投标须知</w:t>
      </w:r>
    </w:p>
    <w:p>
      <w:pPr>
        <w:widowControl/>
        <w:spacing w:line="420" w:lineRule="atLeast"/>
        <w:rPr>
          <w:rFonts w:ascii="宋体" w:hAnsi="宋体"/>
          <w:sz w:val="24"/>
          <w:szCs w:val="21"/>
        </w:rPr>
      </w:pPr>
      <w:r>
        <w:rPr>
          <w:rFonts w:ascii="宋体" w:hAnsi="宋体"/>
          <w:sz w:val="24"/>
          <w:szCs w:val="21"/>
        </w:rPr>
        <w:t>1、适用范围</w:t>
      </w:r>
    </w:p>
    <w:p>
      <w:pPr>
        <w:widowControl/>
        <w:spacing w:line="420" w:lineRule="atLeast"/>
        <w:ind w:firstLine="480"/>
        <w:rPr>
          <w:rFonts w:ascii="宋体" w:hAnsi="宋体"/>
          <w:sz w:val="24"/>
          <w:szCs w:val="21"/>
        </w:rPr>
      </w:pPr>
      <w:r>
        <w:rPr>
          <w:rFonts w:ascii="宋体" w:hAnsi="宋体"/>
          <w:sz w:val="24"/>
          <w:szCs w:val="21"/>
        </w:rPr>
        <w:t>1.1 本招标文件仅适用于本次招标采购所叙述的服务项目。</w:t>
      </w:r>
    </w:p>
    <w:p>
      <w:pPr>
        <w:widowControl/>
        <w:spacing w:line="420" w:lineRule="atLeast"/>
        <w:rPr>
          <w:rFonts w:ascii="宋体" w:hAnsi="宋体"/>
          <w:sz w:val="24"/>
          <w:szCs w:val="21"/>
        </w:rPr>
      </w:pPr>
      <w:r>
        <w:rPr>
          <w:rFonts w:ascii="宋体" w:hAnsi="宋体"/>
          <w:sz w:val="24"/>
          <w:szCs w:val="21"/>
        </w:rPr>
        <w:t>2、定义</w:t>
      </w:r>
    </w:p>
    <w:p>
      <w:pPr>
        <w:numPr>
          <w:ilvl w:val="0"/>
          <w:numId w:val="0"/>
        </w:numPr>
        <w:spacing w:line="360" w:lineRule="auto"/>
        <w:ind w:leftChars="0" w:firstLine="480" w:firstLineChars="200"/>
        <w:rPr>
          <w:rFonts w:ascii="宋体" w:hAnsi="宋体"/>
          <w:sz w:val="24"/>
          <w:szCs w:val="21"/>
        </w:rPr>
      </w:pPr>
      <w:r>
        <w:rPr>
          <w:rFonts w:ascii="宋体" w:hAnsi="宋体"/>
          <w:sz w:val="24"/>
          <w:szCs w:val="21"/>
        </w:rPr>
        <w:t>2.1采购人：</w:t>
      </w:r>
      <w:r>
        <w:rPr>
          <w:rFonts w:ascii="宋体" w:hAnsi="宋体"/>
          <w:sz w:val="24"/>
        </w:rPr>
        <w:t>采购人</w:t>
      </w:r>
      <w:r>
        <w:rPr>
          <w:rFonts w:hint="eastAsia" w:ascii="宋体" w:hAnsi="宋体"/>
          <w:sz w:val="24"/>
        </w:rPr>
        <w:t>：</w:t>
      </w:r>
      <w:r>
        <w:rPr>
          <w:rFonts w:hint="eastAsia" w:ascii="宋体" w:hAnsi="宋体" w:cs="宋体"/>
          <w:b w:val="0"/>
          <w:bCs w:val="0"/>
          <w:color w:val="000000"/>
          <w:kern w:val="2"/>
          <w:sz w:val="24"/>
          <w:szCs w:val="32"/>
          <w:highlight w:val="none"/>
          <w:lang w:val="en-US" w:eastAsia="zh-CN"/>
        </w:rPr>
        <w:t>台州浙东医院有限公司，采购经办单位：台州市立医院</w:t>
      </w:r>
    </w:p>
    <w:p>
      <w:pPr>
        <w:widowControl/>
        <w:spacing w:line="420" w:lineRule="atLeast"/>
        <w:ind w:firstLine="480"/>
        <w:rPr>
          <w:rFonts w:ascii="宋体" w:hAnsi="宋体"/>
          <w:sz w:val="24"/>
          <w:szCs w:val="21"/>
        </w:rPr>
      </w:pPr>
      <w:r>
        <w:rPr>
          <w:rFonts w:ascii="宋体" w:hAnsi="宋体"/>
          <w:sz w:val="24"/>
          <w:szCs w:val="21"/>
        </w:rPr>
        <w:t>2.2投标人：系指符合采购公告要求的投标供应商。</w:t>
      </w:r>
    </w:p>
    <w:p>
      <w:pPr>
        <w:widowControl/>
        <w:spacing w:line="420" w:lineRule="atLeast"/>
        <w:ind w:firstLine="480"/>
        <w:rPr>
          <w:rFonts w:ascii="宋体" w:hAnsi="宋体"/>
          <w:sz w:val="24"/>
          <w:szCs w:val="21"/>
        </w:rPr>
      </w:pPr>
      <w:r>
        <w:rPr>
          <w:rFonts w:ascii="宋体" w:hAnsi="宋体"/>
          <w:sz w:val="24"/>
          <w:szCs w:val="21"/>
        </w:rPr>
        <w:t>2.3服务：系指招标文件规定投标人须承担的运输、技术支持、培训、维修保养及其它类似的服务。</w:t>
      </w:r>
    </w:p>
    <w:p>
      <w:pPr>
        <w:widowControl/>
        <w:spacing w:line="420" w:lineRule="atLeast"/>
        <w:ind w:firstLine="480"/>
        <w:rPr>
          <w:rFonts w:ascii="宋体" w:hAnsi="宋体"/>
          <w:sz w:val="24"/>
          <w:szCs w:val="21"/>
        </w:rPr>
      </w:pPr>
      <w:r>
        <w:rPr>
          <w:rFonts w:ascii="宋体" w:hAnsi="宋体"/>
          <w:sz w:val="24"/>
          <w:szCs w:val="21"/>
        </w:rPr>
        <w:t>2.4货物：系指按招标文件规定投标人须向采购人提供的一切材料、设备、机械、仪器仪表、工具及其它有关技术资料和文字材料。</w:t>
      </w:r>
    </w:p>
    <w:p>
      <w:pPr>
        <w:widowControl/>
        <w:spacing w:line="420" w:lineRule="atLeast"/>
        <w:ind w:firstLine="480"/>
        <w:rPr>
          <w:rFonts w:ascii="宋体" w:hAnsi="宋体"/>
          <w:sz w:val="24"/>
          <w:szCs w:val="21"/>
        </w:rPr>
      </w:pPr>
      <w:r>
        <w:rPr>
          <w:rFonts w:ascii="宋体" w:hAnsi="宋体"/>
          <w:sz w:val="24"/>
          <w:szCs w:val="21"/>
        </w:rPr>
        <w:t>2.5甲方：即采购人，在招投标阶段称为采购人，在签订和执行合同阶段称为甲方。</w:t>
      </w:r>
    </w:p>
    <w:p>
      <w:pPr>
        <w:widowControl/>
        <w:spacing w:line="420" w:lineRule="atLeast"/>
        <w:ind w:firstLine="480"/>
        <w:rPr>
          <w:rFonts w:ascii="宋体" w:hAnsi="宋体"/>
          <w:sz w:val="24"/>
          <w:szCs w:val="21"/>
        </w:rPr>
      </w:pPr>
      <w:r>
        <w:rPr>
          <w:rFonts w:ascii="宋体" w:hAnsi="宋体"/>
          <w:sz w:val="24"/>
          <w:szCs w:val="21"/>
        </w:rPr>
        <w:t>2.6乙方：在招投标阶段称为投标人，中标后在签订和执行合同阶段称为乙方。</w:t>
      </w:r>
    </w:p>
    <w:p>
      <w:pPr>
        <w:widowControl/>
        <w:spacing w:line="420" w:lineRule="atLeast"/>
        <w:ind w:firstLine="480"/>
        <w:rPr>
          <w:rFonts w:ascii="宋体" w:hAnsi="宋体"/>
          <w:sz w:val="24"/>
          <w:szCs w:val="21"/>
        </w:rPr>
      </w:pPr>
      <w:r>
        <w:rPr>
          <w:rFonts w:ascii="宋体" w:hAnsi="宋体"/>
          <w:sz w:val="24"/>
          <w:szCs w:val="21"/>
        </w:rPr>
        <w:t>2.7“原产地”是指货物开采、生长或生产、或提供有关服务的来源地。</w:t>
      </w:r>
    </w:p>
    <w:p>
      <w:pPr>
        <w:widowControl/>
        <w:spacing w:line="420" w:lineRule="atLeast"/>
        <w:ind w:firstLine="480"/>
        <w:rPr>
          <w:rFonts w:ascii="宋体" w:hAnsi="宋体"/>
          <w:sz w:val="24"/>
          <w:szCs w:val="21"/>
        </w:rPr>
      </w:pPr>
      <w:r>
        <w:rPr>
          <w:rFonts w:ascii="宋体" w:hAnsi="宋体"/>
          <w:sz w:val="24"/>
          <w:szCs w:val="21"/>
        </w:rPr>
        <w:t>2.8“★”标记系指必须满足不能负偏离或必须应答的条款。</w:t>
      </w:r>
    </w:p>
    <w:p>
      <w:pPr>
        <w:widowControl/>
        <w:spacing w:line="420" w:lineRule="atLeast"/>
        <w:rPr>
          <w:rFonts w:ascii="宋体" w:hAnsi="宋体"/>
          <w:sz w:val="24"/>
          <w:szCs w:val="21"/>
        </w:rPr>
      </w:pPr>
      <w:r>
        <w:rPr>
          <w:rFonts w:ascii="宋体" w:hAnsi="宋体"/>
          <w:sz w:val="24"/>
          <w:szCs w:val="21"/>
        </w:rPr>
        <w:t>3、合格的投标人</w:t>
      </w:r>
    </w:p>
    <w:p>
      <w:pPr>
        <w:widowControl/>
        <w:spacing w:line="420" w:lineRule="atLeast"/>
        <w:ind w:firstLine="480"/>
        <w:rPr>
          <w:rFonts w:ascii="宋体" w:hAnsi="宋体"/>
          <w:sz w:val="24"/>
          <w:szCs w:val="21"/>
        </w:rPr>
      </w:pPr>
      <w:r>
        <w:rPr>
          <w:rFonts w:ascii="宋体" w:hAnsi="宋体"/>
          <w:sz w:val="24"/>
          <w:szCs w:val="21"/>
        </w:rPr>
        <w:t>3.1具有独立法人资格。</w:t>
      </w:r>
    </w:p>
    <w:p>
      <w:pPr>
        <w:widowControl/>
        <w:spacing w:line="420" w:lineRule="atLeast"/>
        <w:ind w:firstLine="480"/>
        <w:rPr>
          <w:rFonts w:ascii="宋体" w:hAnsi="宋体"/>
          <w:sz w:val="24"/>
          <w:szCs w:val="21"/>
        </w:rPr>
      </w:pPr>
      <w:r>
        <w:rPr>
          <w:rFonts w:ascii="宋体" w:hAnsi="宋体"/>
          <w:sz w:val="24"/>
          <w:szCs w:val="21"/>
        </w:rPr>
        <w:t>3.2法律、行政法规规定的其它条件。</w:t>
      </w:r>
    </w:p>
    <w:p>
      <w:pPr>
        <w:widowControl/>
        <w:spacing w:line="420" w:lineRule="atLeast"/>
        <w:ind w:firstLine="480"/>
        <w:rPr>
          <w:rFonts w:ascii="宋体" w:hAnsi="宋体"/>
          <w:sz w:val="24"/>
          <w:szCs w:val="21"/>
        </w:rPr>
      </w:pPr>
      <w:r>
        <w:rPr>
          <w:rFonts w:ascii="宋体" w:hAnsi="宋体"/>
          <w:sz w:val="24"/>
          <w:szCs w:val="21"/>
        </w:rPr>
        <w:t>3.3 该行业国家规定必备的资质、资格。</w:t>
      </w:r>
    </w:p>
    <w:p>
      <w:pPr>
        <w:widowControl/>
        <w:spacing w:line="420" w:lineRule="atLeast"/>
        <w:ind w:firstLine="480"/>
        <w:rPr>
          <w:rFonts w:ascii="宋体" w:hAnsi="宋体"/>
          <w:sz w:val="24"/>
          <w:szCs w:val="21"/>
        </w:rPr>
      </w:pPr>
      <w:r>
        <w:rPr>
          <w:rFonts w:ascii="宋体" w:hAnsi="宋体"/>
          <w:sz w:val="24"/>
          <w:szCs w:val="21"/>
        </w:rPr>
        <w:t>3.4采购公告中要求的条件。</w:t>
      </w:r>
    </w:p>
    <w:p>
      <w:pPr>
        <w:widowControl/>
        <w:spacing w:line="420" w:lineRule="atLeast"/>
        <w:rPr>
          <w:rFonts w:ascii="宋体" w:hAnsi="宋体"/>
          <w:sz w:val="24"/>
          <w:szCs w:val="21"/>
        </w:rPr>
      </w:pPr>
      <w:r>
        <w:rPr>
          <w:rFonts w:ascii="宋体" w:hAnsi="宋体"/>
          <w:sz w:val="24"/>
          <w:szCs w:val="21"/>
        </w:rPr>
        <w:t>4、保证</w:t>
      </w:r>
    </w:p>
    <w:p>
      <w:pPr>
        <w:widowControl/>
        <w:spacing w:line="420" w:lineRule="atLeast"/>
        <w:ind w:firstLine="480"/>
        <w:rPr>
          <w:rFonts w:ascii="宋体" w:hAnsi="宋体"/>
          <w:sz w:val="24"/>
          <w:szCs w:val="21"/>
        </w:rPr>
      </w:pPr>
      <w:r>
        <w:rPr>
          <w:rFonts w:ascii="宋体" w:hAnsi="宋体"/>
          <w:sz w:val="24"/>
          <w:szCs w:val="21"/>
        </w:rPr>
        <w:t>4.1投标单位应保证所提交给招标机构和采购人的资料和数据是真实的。</w:t>
      </w:r>
    </w:p>
    <w:p>
      <w:pPr>
        <w:widowControl/>
        <w:spacing w:line="420" w:lineRule="atLeast"/>
        <w:rPr>
          <w:rFonts w:ascii="宋体" w:hAnsi="宋体"/>
          <w:sz w:val="24"/>
          <w:szCs w:val="21"/>
        </w:rPr>
      </w:pPr>
      <w:r>
        <w:rPr>
          <w:rFonts w:ascii="宋体" w:hAnsi="宋体"/>
          <w:sz w:val="24"/>
          <w:szCs w:val="21"/>
        </w:rPr>
        <w:t xml:space="preserve">5、现场勘察 </w:t>
      </w:r>
    </w:p>
    <w:p>
      <w:pPr>
        <w:widowControl/>
        <w:spacing w:line="420" w:lineRule="atLeast"/>
        <w:ind w:firstLine="480"/>
        <w:rPr>
          <w:rFonts w:ascii="宋体" w:hAnsi="宋体"/>
          <w:sz w:val="24"/>
          <w:szCs w:val="21"/>
        </w:rPr>
      </w:pPr>
      <w:r>
        <w:rPr>
          <w:rFonts w:ascii="宋体" w:hAnsi="宋体"/>
          <w:sz w:val="24"/>
          <w:szCs w:val="21"/>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pPr>
        <w:widowControl/>
        <w:spacing w:line="420" w:lineRule="atLeast"/>
        <w:ind w:firstLine="480"/>
        <w:rPr>
          <w:rFonts w:ascii="宋体" w:hAnsi="宋体"/>
          <w:sz w:val="24"/>
          <w:szCs w:val="21"/>
        </w:rPr>
      </w:pPr>
      <w:r>
        <w:rPr>
          <w:rFonts w:ascii="宋体" w:hAnsi="宋体"/>
          <w:sz w:val="24"/>
          <w:szCs w:val="21"/>
        </w:rPr>
        <w:t xml:space="preserve">5.2投标单位在考察过程中发生的各类事件及所发生的各项费用，均由投标单位自行承担。采购人和代理机构概不负责。 </w:t>
      </w:r>
    </w:p>
    <w:p>
      <w:pPr>
        <w:widowControl/>
        <w:spacing w:line="420" w:lineRule="atLeast"/>
        <w:ind w:firstLine="480"/>
        <w:rPr>
          <w:rFonts w:ascii="宋体" w:hAnsi="宋体"/>
          <w:sz w:val="24"/>
          <w:szCs w:val="21"/>
        </w:rPr>
      </w:pPr>
      <w:r>
        <w:rPr>
          <w:rFonts w:ascii="宋体" w:hAnsi="宋体"/>
          <w:sz w:val="24"/>
          <w:szCs w:val="21"/>
        </w:rPr>
        <w:t>5.3采购人向投标单位提供的有关现场的数据和资料，是采购人现有的能被投标人利用的资料，采购人对投标人据此做出的任何推论、理解和结论不负责任。</w:t>
      </w:r>
    </w:p>
    <w:p>
      <w:pPr>
        <w:widowControl/>
        <w:spacing w:line="420" w:lineRule="atLeast"/>
        <w:ind w:firstLine="480"/>
        <w:rPr>
          <w:rFonts w:ascii="宋体" w:hAnsi="宋体"/>
          <w:sz w:val="24"/>
          <w:szCs w:val="21"/>
        </w:rPr>
      </w:pPr>
      <w:r>
        <w:rPr>
          <w:rFonts w:ascii="宋体" w:hAnsi="宋体"/>
          <w:sz w:val="24"/>
          <w:szCs w:val="21"/>
        </w:rPr>
        <w:t>5.4现场踏勘完毕，将认为投标人己了解现场情况，并充分理解了为之所承担的风险、义务和责任。</w:t>
      </w:r>
    </w:p>
    <w:p>
      <w:pPr>
        <w:widowControl/>
        <w:spacing w:line="420" w:lineRule="atLeast"/>
        <w:ind w:firstLine="480"/>
        <w:rPr>
          <w:rFonts w:hint="default" w:ascii="宋体" w:hAnsi="宋体" w:eastAsia="宋体"/>
          <w:sz w:val="24"/>
          <w:szCs w:val="21"/>
          <w:lang w:val="en-US" w:eastAsia="zh-CN"/>
        </w:rPr>
      </w:pPr>
      <w:r>
        <w:rPr>
          <w:rFonts w:hint="eastAsia" w:ascii="宋体" w:hAnsi="宋体"/>
          <w:sz w:val="24"/>
          <w:szCs w:val="21"/>
          <w:lang w:val="en-US" w:eastAsia="zh-CN"/>
        </w:rPr>
        <w:t>5.5现场踏勘联系人：陶老师，联系电话：15967696324</w:t>
      </w:r>
    </w:p>
    <w:p>
      <w:pPr>
        <w:widowControl/>
        <w:spacing w:line="420" w:lineRule="atLeast"/>
        <w:rPr>
          <w:rFonts w:ascii="宋体" w:hAnsi="宋体"/>
          <w:sz w:val="24"/>
          <w:szCs w:val="21"/>
        </w:rPr>
      </w:pPr>
      <w:r>
        <w:rPr>
          <w:rFonts w:ascii="宋体" w:hAnsi="宋体"/>
          <w:sz w:val="24"/>
          <w:szCs w:val="21"/>
        </w:rPr>
        <w:t>6、联合体投标</w:t>
      </w:r>
    </w:p>
    <w:p>
      <w:pPr>
        <w:widowControl/>
        <w:spacing w:line="420" w:lineRule="atLeast"/>
        <w:ind w:firstLine="480"/>
        <w:rPr>
          <w:rFonts w:ascii="宋体" w:hAnsi="宋体"/>
          <w:sz w:val="24"/>
          <w:szCs w:val="21"/>
        </w:rPr>
      </w:pPr>
      <w:r>
        <w:rPr>
          <w:rFonts w:ascii="宋体" w:hAnsi="宋体"/>
          <w:sz w:val="24"/>
          <w:szCs w:val="21"/>
        </w:rPr>
        <w:t>本项目不接受联合体投标。</w:t>
      </w:r>
    </w:p>
    <w:p>
      <w:pPr>
        <w:widowControl/>
        <w:spacing w:line="420" w:lineRule="atLeast"/>
        <w:rPr>
          <w:rFonts w:ascii="宋体" w:hAnsi="宋体"/>
          <w:sz w:val="24"/>
          <w:szCs w:val="21"/>
        </w:rPr>
      </w:pPr>
      <w:r>
        <w:rPr>
          <w:rFonts w:ascii="宋体" w:hAnsi="宋体"/>
          <w:sz w:val="24"/>
          <w:szCs w:val="21"/>
        </w:rPr>
        <w:t>7、投标人发生下列情况之一时，除严格依法依规进行处理外，还将通报市信用管理部门，列入严重失信名单：</w:t>
      </w:r>
    </w:p>
    <w:p>
      <w:pPr>
        <w:widowControl/>
        <w:spacing w:line="420" w:lineRule="atLeast"/>
        <w:ind w:firstLine="480"/>
        <w:rPr>
          <w:rFonts w:ascii="宋体" w:hAnsi="宋体"/>
          <w:sz w:val="24"/>
          <w:szCs w:val="21"/>
        </w:rPr>
      </w:pPr>
      <w:r>
        <w:rPr>
          <w:rFonts w:ascii="宋体" w:hAnsi="宋体"/>
          <w:sz w:val="24"/>
          <w:szCs w:val="21"/>
        </w:rPr>
        <w:t>（1）投标人在规定的投标有效期内撤回投标或放弃中标的；</w:t>
      </w:r>
    </w:p>
    <w:p>
      <w:pPr>
        <w:widowControl/>
        <w:spacing w:line="420" w:lineRule="atLeast"/>
        <w:ind w:firstLine="480"/>
        <w:rPr>
          <w:rFonts w:ascii="宋体" w:hAnsi="宋体"/>
          <w:sz w:val="24"/>
          <w:szCs w:val="21"/>
        </w:rPr>
      </w:pPr>
      <w:r>
        <w:rPr>
          <w:rFonts w:ascii="宋体" w:hAnsi="宋体"/>
          <w:sz w:val="24"/>
          <w:szCs w:val="21"/>
        </w:rPr>
        <w:t>（2）有意串标或提供虚假材料者的；</w:t>
      </w:r>
    </w:p>
    <w:p>
      <w:pPr>
        <w:widowControl/>
        <w:spacing w:line="420" w:lineRule="atLeast"/>
        <w:ind w:firstLine="480"/>
        <w:rPr>
          <w:rFonts w:ascii="宋体" w:hAnsi="宋体"/>
          <w:sz w:val="24"/>
          <w:szCs w:val="21"/>
        </w:rPr>
      </w:pPr>
      <w:r>
        <w:rPr>
          <w:rFonts w:ascii="宋体" w:hAnsi="宋体"/>
          <w:sz w:val="24"/>
          <w:szCs w:val="21"/>
        </w:rPr>
        <w:t>（3）中标人在收到中标通知书后，因自身原因不能在投标有效期内和采购人签订合同。</w:t>
      </w:r>
    </w:p>
    <w:p>
      <w:pPr>
        <w:widowControl/>
        <w:spacing w:line="420" w:lineRule="atLeast"/>
        <w:ind w:firstLine="480"/>
        <w:rPr>
          <w:rFonts w:ascii="宋体" w:hAnsi="宋体"/>
          <w:sz w:val="24"/>
          <w:szCs w:val="21"/>
        </w:rPr>
      </w:pPr>
      <w:r>
        <w:rPr>
          <w:rFonts w:ascii="宋体" w:hAnsi="宋体"/>
          <w:sz w:val="24"/>
          <w:szCs w:val="21"/>
        </w:rPr>
        <w:t>（4）中标人未在规定时间缴纳招标代理费的。</w:t>
      </w:r>
    </w:p>
    <w:p>
      <w:pPr>
        <w:widowControl/>
        <w:spacing w:line="420" w:lineRule="atLeast"/>
        <w:ind w:firstLine="480"/>
        <w:rPr>
          <w:rFonts w:ascii="宋体" w:hAnsi="宋体"/>
          <w:sz w:val="24"/>
          <w:szCs w:val="21"/>
        </w:rPr>
      </w:pPr>
      <w:r>
        <w:rPr>
          <w:rFonts w:ascii="宋体" w:hAnsi="宋体"/>
          <w:sz w:val="24"/>
          <w:szCs w:val="21"/>
        </w:rPr>
        <w:t>（5）中标供应商在标后履约过程中未按合同约定的期限和要求履约的。</w:t>
      </w:r>
    </w:p>
    <w:p>
      <w:pPr>
        <w:widowControl/>
        <w:spacing w:line="420" w:lineRule="atLeast"/>
        <w:ind w:firstLine="480"/>
        <w:rPr>
          <w:rFonts w:ascii="宋体" w:hAnsi="宋体"/>
          <w:sz w:val="24"/>
          <w:szCs w:val="21"/>
        </w:rPr>
      </w:pPr>
      <w:r>
        <w:rPr>
          <w:rFonts w:ascii="宋体" w:hAnsi="宋体"/>
          <w:sz w:val="24"/>
          <w:szCs w:val="21"/>
        </w:rPr>
        <w:t>（6）因中标供应商原因在标后履约过程中擅自终止合同的。</w:t>
      </w:r>
    </w:p>
    <w:p>
      <w:pPr>
        <w:widowControl/>
        <w:spacing w:line="420" w:lineRule="atLeast"/>
        <w:ind w:firstLine="480"/>
        <w:rPr>
          <w:rFonts w:ascii="宋体" w:hAnsi="宋体"/>
          <w:sz w:val="24"/>
          <w:szCs w:val="21"/>
        </w:rPr>
      </w:pPr>
      <w:r>
        <w:rPr>
          <w:rFonts w:ascii="宋体" w:hAnsi="宋体"/>
          <w:sz w:val="24"/>
          <w:szCs w:val="21"/>
        </w:rPr>
        <w:t>（7）不符合招标文件要求的其他失信行为。</w:t>
      </w: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spacing w:line="360" w:lineRule="auto"/>
        <w:ind w:firstLine="321" w:firstLineChars="100"/>
        <w:jc w:val="center"/>
        <w:rPr>
          <w:rFonts w:ascii="宋体" w:hAnsi="宋体"/>
          <w:b/>
          <w:sz w:val="32"/>
          <w:szCs w:val="32"/>
        </w:rPr>
      </w:pPr>
      <w:r>
        <w:rPr>
          <w:rFonts w:hint="eastAsia" w:ascii="宋体" w:hAnsi="宋体"/>
          <w:b/>
          <w:sz w:val="32"/>
          <w:szCs w:val="32"/>
        </w:rPr>
        <w:t>第三章   项目概况及要求</w:t>
      </w:r>
    </w:p>
    <w:p>
      <w:pPr>
        <w:spacing w:line="360" w:lineRule="auto"/>
        <w:rPr>
          <w:b/>
          <w:bCs/>
          <w:sz w:val="24"/>
          <w:szCs w:val="24"/>
        </w:rPr>
      </w:pPr>
      <w:r>
        <w:rPr>
          <w:rFonts w:hAnsi="宋体"/>
          <w:b/>
          <w:bCs/>
          <w:sz w:val="24"/>
          <w:szCs w:val="24"/>
        </w:rPr>
        <w:t>一、项目概况</w:t>
      </w:r>
    </w:p>
    <w:p>
      <w:pPr>
        <w:spacing w:line="360" w:lineRule="auto"/>
        <w:jc w:val="left"/>
        <w:rPr>
          <w:sz w:val="24"/>
          <w:szCs w:val="24"/>
        </w:rPr>
      </w:pPr>
      <w:r>
        <w:rPr>
          <w:rFonts w:hint="eastAsia" w:hAnsi="宋体"/>
          <w:sz w:val="24"/>
          <w:szCs w:val="24"/>
        </w:rPr>
        <w:t>台州市立医院</w:t>
      </w:r>
      <w:r>
        <w:rPr>
          <w:rFonts w:hAnsi="宋体"/>
          <w:sz w:val="24"/>
          <w:szCs w:val="24"/>
        </w:rPr>
        <w:t>射线装置技术服务</w:t>
      </w:r>
    </w:p>
    <w:p>
      <w:pPr>
        <w:spacing w:line="360" w:lineRule="auto"/>
        <w:rPr>
          <w:rFonts w:hAnsi="宋体"/>
          <w:b/>
          <w:bCs/>
          <w:sz w:val="24"/>
          <w:szCs w:val="24"/>
        </w:rPr>
      </w:pPr>
      <w:r>
        <w:rPr>
          <w:rFonts w:hint="eastAsia" w:hAnsi="宋体"/>
          <w:b/>
          <w:bCs/>
          <w:sz w:val="24"/>
          <w:szCs w:val="24"/>
        </w:rPr>
        <w:t>二、</w:t>
      </w:r>
      <w:r>
        <w:rPr>
          <w:rFonts w:hAnsi="宋体"/>
          <w:b/>
          <w:bCs/>
          <w:sz w:val="24"/>
          <w:szCs w:val="24"/>
        </w:rPr>
        <w:t>招标需求</w:t>
      </w:r>
    </w:p>
    <w:tbl>
      <w:tblPr>
        <w:tblStyle w:val="15"/>
        <w:tblW w:w="8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800"/>
        <w:gridCol w:w="517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64" w:type="dxa"/>
            <w:vAlign w:val="center"/>
          </w:tcPr>
          <w:p>
            <w:pPr>
              <w:widowControl/>
              <w:jc w:val="center"/>
              <w:rPr>
                <w:bCs/>
                <w:kern w:val="0"/>
                <w:sz w:val="24"/>
              </w:rPr>
            </w:pPr>
            <w:bookmarkStart w:id="0" w:name="_Toc426996356"/>
            <w:r>
              <w:rPr>
                <w:bCs/>
                <w:kern w:val="0"/>
                <w:sz w:val="24"/>
              </w:rPr>
              <w:t>序号</w:t>
            </w:r>
          </w:p>
        </w:tc>
        <w:tc>
          <w:tcPr>
            <w:tcW w:w="1800" w:type="dxa"/>
            <w:vAlign w:val="center"/>
          </w:tcPr>
          <w:p>
            <w:pPr>
              <w:widowControl/>
              <w:jc w:val="center"/>
              <w:rPr>
                <w:bCs/>
                <w:kern w:val="0"/>
                <w:sz w:val="24"/>
              </w:rPr>
            </w:pPr>
            <w:r>
              <w:rPr>
                <w:bCs/>
                <w:kern w:val="0"/>
                <w:sz w:val="24"/>
              </w:rPr>
              <w:t>服务项目</w:t>
            </w:r>
          </w:p>
        </w:tc>
        <w:tc>
          <w:tcPr>
            <w:tcW w:w="5170" w:type="dxa"/>
            <w:vAlign w:val="center"/>
          </w:tcPr>
          <w:p>
            <w:pPr>
              <w:widowControl/>
              <w:jc w:val="center"/>
              <w:rPr>
                <w:bCs/>
                <w:kern w:val="0"/>
                <w:sz w:val="24"/>
              </w:rPr>
            </w:pPr>
            <w:r>
              <w:rPr>
                <w:bCs/>
                <w:kern w:val="0"/>
                <w:sz w:val="24"/>
              </w:rPr>
              <w:t>设备清单</w:t>
            </w:r>
          </w:p>
        </w:tc>
        <w:tc>
          <w:tcPr>
            <w:tcW w:w="851" w:type="dxa"/>
            <w:vAlign w:val="center"/>
          </w:tcPr>
          <w:p>
            <w:pPr>
              <w:widowControl/>
              <w:jc w:val="center"/>
              <w:rPr>
                <w:bCs/>
                <w:kern w:val="0"/>
                <w:sz w:val="24"/>
              </w:rPr>
            </w:pPr>
            <w:r>
              <w:rPr>
                <w:bCs/>
                <w:kern w:val="0"/>
                <w:sz w:val="24"/>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64" w:type="dxa"/>
            <w:vAlign w:val="center"/>
          </w:tcPr>
          <w:p>
            <w:pPr>
              <w:widowControl/>
              <w:jc w:val="center"/>
              <w:rPr>
                <w:kern w:val="0"/>
                <w:sz w:val="24"/>
              </w:rPr>
            </w:pPr>
            <w:r>
              <w:rPr>
                <w:kern w:val="0"/>
                <w:sz w:val="24"/>
              </w:rPr>
              <w:t>1</w:t>
            </w:r>
          </w:p>
        </w:tc>
        <w:tc>
          <w:tcPr>
            <w:tcW w:w="1800" w:type="dxa"/>
            <w:vAlign w:val="center"/>
          </w:tcPr>
          <w:p>
            <w:pPr>
              <w:spacing w:line="440" w:lineRule="exact"/>
              <w:jc w:val="center"/>
              <w:rPr>
                <w:sz w:val="24"/>
              </w:rPr>
            </w:pPr>
            <w:r>
              <w:rPr>
                <w:sz w:val="24"/>
              </w:rPr>
              <w:t>职业病危害放射防护预评价</w:t>
            </w:r>
          </w:p>
        </w:tc>
        <w:tc>
          <w:tcPr>
            <w:tcW w:w="5170" w:type="dxa"/>
            <w:vAlign w:val="center"/>
          </w:tcPr>
          <w:p>
            <w:pPr>
              <w:spacing w:line="440" w:lineRule="exact"/>
              <w:rPr>
                <w:rFonts w:hint="default" w:eastAsia="宋体"/>
                <w:sz w:val="24"/>
                <w:lang w:val="en-US" w:eastAsia="zh-CN"/>
              </w:rPr>
            </w:pPr>
            <w:r>
              <w:rPr>
                <w:rFonts w:hint="eastAsia"/>
                <w:sz w:val="24"/>
                <w:lang w:val="en-US" w:eastAsia="zh-CN"/>
              </w:rPr>
              <w:t>共18台</w:t>
            </w:r>
          </w:p>
          <w:p>
            <w:pPr>
              <w:spacing w:line="440" w:lineRule="exact"/>
              <w:rPr>
                <w:sz w:val="24"/>
              </w:rPr>
            </w:pPr>
            <w:r>
              <w:rPr>
                <w:rFonts w:hint="eastAsia"/>
                <w:sz w:val="24"/>
              </w:rPr>
              <w:t>一楼东4门诊</w:t>
            </w:r>
          </w:p>
          <w:p>
            <w:pPr>
              <w:spacing w:line="440" w:lineRule="exact"/>
              <w:rPr>
                <w:sz w:val="24"/>
              </w:rPr>
            </w:pPr>
            <w:r>
              <w:rPr>
                <w:rFonts w:hint="eastAsia"/>
                <w:sz w:val="24"/>
              </w:rPr>
              <w:t>原地上一层：布局调整CT3改为2台泪靶机，</w:t>
            </w:r>
          </w:p>
          <w:p>
            <w:pPr>
              <w:spacing w:line="440" w:lineRule="exact"/>
              <w:rPr>
                <w:sz w:val="24"/>
              </w:rPr>
            </w:pPr>
            <w:r>
              <w:rPr>
                <w:rFonts w:hint="eastAsia"/>
                <w:sz w:val="24"/>
              </w:rPr>
              <w:t>二、地下室</w:t>
            </w:r>
          </w:p>
          <w:p>
            <w:pPr>
              <w:spacing w:line="440" w:lineRule="exact"/>
              <w:rPr>
                <w:sz w:val="24"/>
              </w:rPr>
            </w:pPr>
            <w:r>
              <w:rPr>
                <w:rFonts w:hint="eastAsia"/>
                <w:sz w:val="24"/>
              </w:rPr>
              <w:t>大孔径CT1台、普通CT 2台、骨密度仪1台；</w:t>
            </w:r>
          </w:p>
          <w:p>
            <w:pPr>
              <w:spacing w:line="440" w:lineRule="exact"/>
              <w:rPr>
                <w:sz w:val="24"/>
              </w:rPr>
            </w:pPr>
            <w:r>
              <w:rPr>
                <w:rFonts w:hint="eastAsia"/>
                <w:sz w:val="24"/>
              </w:rPr>
              <w:t>三、手术室C臂机4台（增加）</w:t>
            </w:r>
          </w:p>
          <w:p>
            <w:pPr>
              <w:spacing w:line="440" w:lineRule="exact"/>
              <w:rPr>
                <w:sz w:val="24"/>
              </w:rPr>
            </w:pPr>
            <w:r>
              <w:rPr>
                <w:rFonts w:hint="eastAsia"/>
                <w:sz w:val="24"/>
              </w:rPr>
              <w:t>四、胃肠中心：布局调整C臂机1台；</w:t>
            </w:r>
          </w:p>
          <w:p>
            <w:pPr>
              <w:spacing w:line="440" w:lineRule="exact"/>
              <w:rPr>
                <w:sz w:val="24"/>
              </w:rPr>
            </w:pPr>
            <w:r>
              <w:rPr>
                <w:rFonts w:hint="eastAsia"/>
                <w:sz w:val="24"/>
              </w:rPr>
              <w:t>五、口腔科：布局调整：CT 1台、全景机 1台、牙片机 1台。</w:t>
            </w:r>
          </w:p>
          <w:p>
            <w:pPr>
              <w:spacing w:line="440" w:lineRule="exact"/>
              <w:rPr>
                <w:sz w:val="24"/>
              </w:rPr>
            </w:pPr>
            <w:r>
              <w:rPr>
                <w:rFonts w:hint="eastAsia"/>
                <w:sz w:val="24"/>
              </w:rPr>
              <w:t>六、发热门诊：DR 1台、CT 1台；</w:t>
            </w:r>
          </w:p>
          <w:p>
            <w:pPr>
              <w:spacing w:line="440" w:lineRule="exact"/>
              <w:rPr>
                <w:sz w:val="24"/>
              </w:rPr>
            </w:pPr>
            <w:r>
              <w:rPr>
                <w:rFonts w:hint="eastAsia"/>
                <w:sz w:val="24"/>
              </w:rPr>
              <w:t>七、体检中心：DR 1台、CT 1台；</w:t>
            </w:r>
          </w:p>
        </w:tc>
        <w:tc>
          <w:tcPr>
            <w:tcW w:w="851" w:type="dxa"/>
            <w:vAlign w:val="center"/>
          </w:tcPr>
          <w:p>
            <w:pPr>
              <w:widowControl/>
              <w:jc w:val="center"/>
              <w:rPr>
                <w:kern w:val="0"/>
                <w:sz w:val="24"/>
              </w:rPr>
            </w:pPr>
            <w:r>
              <w:rPr>
                <w:rFonts w:hint="eastAsia"/>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64" w:type="dxa"/>
            <w:vAlign w:val="center"/>
          </w:tcPr>
          <w:p>
            <w:pPr>
              <w:widowControl/>
              <w:jc w:val="center"/>
              <w:rPr>
                <w:kern w:val="0"/>
                <w:sz w:val="24"/>
              </w:rPr>
            </w:pPr>
            <w:r>
              <w:rPr>
                <w:kern w:val="0"/>
                <w:sz w:val="24"/>
              </w:rPr>
              <w:t>2</w:t>
            </w:r>
          </w:p>
        </w:tc>
        <w:tc>
          <w:tcPr>
            <w:tcW w:w="1800" w:type="dxa"/>
            <w:vAlign w:val="center"/>
          </w:tcPr>
          <w:p>
            <w:pPr>
              <w:spacing w:line="440" w:lineRule="exact"/>
              <w:jc w:val="center"/>
              <w:rPr>
                <w:sz w:val="24"/>
              </w:rPr>
            </w:pPr>
            <w:r>
              <w:rPr>
                <w:sz w:val="24"/>
              </w:rPr>
              <w:t>职业病危害控制效果放射防护评价</w:t>
            </w:r>
          </w:p>
        </w:tc>
        <w:tc>
          <w:tcPr>
            <w:tcW w:w="5170" w:type="dxa"/>
            <w:vAlign w:val="center"/>
          </w:tcPr>
          <w:p>
            <w:pPr>
              <w:spacing w:line="440" w:lineRule="exact"/>
              <w:jc w:val="left"/>
              <w:rPr>
                <w:rFonts w:hint="eastAsia"/>
                <w:sz w:val="24"/>
                <w:lang w:val="en-US" w:eastAsia="zh-CN"/>
              </w:rPr>
            </w:pPr>
            <w:r>
              <w:rPr>
                <w:rFonts w:hint="eastAsia"/>
                <w:sz w:val="24"/>
                <w:lang w:val="en-US" w:eastAsia="zh-CN"/>
              </w:rPr>
              <w:t>共17台</w:t>
            </w:r>
          </w:p>
          <w:p>
            <w:pPr>
              <w:spacing w:line="440" w:lineRule="exact"/>
              <w:jc w:val="left"/>
              <w:rPr>
                <w:sz w:val="24"/>
              </w:rPr>
            </w:pPr>
            <w:r>
              <w:rPr>
                <w:rFonts w:hint="eastAsia"/>
                <w:sz w:val="24"/>
              </w:rPr>
              <w:t>一楼东4门诊</w:t>
            </w:r>
          </w:p>
          <w:p>
            <w:pPr>
              <w:spacing w:line="440" w:lineRule="exact"/>
              <w:jc w:val="left"/>
              <w:rPr>
                <w:sz w:val="24"/>
              </w:rPr>
            </w:pPr>
            <w:r>
              <w:rPr>
                <w:rFonts w:hint="eastAsia"/>
                <w:sz w:val="24"/>
              </w:rPr>
              <w:t>1、CT1 已新的64排、 CT3 乳腺机1台（新买）、胃肠机1台、</w:t>
            </w:r>
          </w:p>
          <w:p>
            <w:pPr>
              <w:spacing w:line="440" w:lineRule="exact"/>
              <w:jc w:val="left"/>
              <w:rPr>
                <w:sz w:val="24"/>
              </w:rPr>
            </w:pPr>
            <w:r>
              <w:rPr>
                <w:rFonts w:hint="eastAsia"/>
                <w:sz w:val="24"/>
              </w:rPr>
              <w:t>DR2 已新买，DR1待采购</w:t>
            </w:r>
          </w:p>
          <w:p>
            <w:pPr>
              <w:spacing w:line="440" w:lineRule="exact"/>
              <w:jc w:val="left"/>
              <w:rPr>
                <w:sz w:val="24"/>
              </w:rPr>
            </w:pPr>
            <w:r>
              <w:rPr>
                <w:rFonts w:hint="eastAsia"/>
                <w:sz w:val="24"/>
              </w:rPr>
              <w:t>二、地下室</w:t>
            </w:r>
          </w:p>
          <w:p>
            <w:pPr>
              <w:spacing w:line="440" w:lineRule="exact"/>
              <w:jc w:val="left"/>
              <w:rPr>
                <w:sz w:val="24"/>
              </w:rPr>
            </w:pPr>
            <w:r>
              <w:rPr>
                <w:rFonts w:hint="eastAsia"/>
                <w:sz w:val="24"/>
              </w:rPr>
              <w:t>直线加速器1：新购设备，瓦里安</w:t>
            </w:r>
          </w:p>
          <w:p>
            <w:pPr>
              <w:spacing w:line="440" w:lineRule="exact"/>
              <w:jc w:val="left"/>
              <w:rPr>
                <w:sz w:val="24"/>
              </w:rPr>
            </w:pPr>
            <w:r>
              <w:rPr>
                <w:rFonts w:hint="eastAsia"/>
                <w:sz w:val="24"/>
              </w:rPr>
              <w:t>大孔镜CT（第一期）、骨密度（第一期移机）</w:t>
            </w:r>
          </w:p>
          <w:p>
            <w:pPr>
              <w:spacing w:line="440" w:lineRule="exact"/>
              <w:jc w:val="left"/>
              <w:rPr>
                <w:sz w:val="24"/>
              </w:rPr>
            </w:pPr>
            <w:r>
              <w:rPr>
                <w:rFonts w:hint="eastAsia"/>
                <w:sz w:val="24"/>
              </w:rPr>
              <w:t>三、C臂机：5 台</w:t>
            </w:r>
          </w:p>
          <w:p>
            <w:pPr>
              <w:spacing w:line="440" w:lineRule="exact"/>
              <w:jc w:val="left"/>
              <w:rPr>
                <w:sz w:val="24"/>
              </w:rPr>
            </w:pPr>
            <w:r>
              <w:rPr>
                <w:rFonts w:hint="eastAsia"/>
                <w:sz w:val="24"/>
              </w:rPr>
              <w:t>四：胃肠中心：ERCP：C臂机老院移机；</w:t>
            </w:r>
          </w:p>
          <w:p>
            <w:pPr>
              <w:spacing w:line="440" w:lineRule="exact"/>
              <w:jc w:val="left"/>
              <w:rPr>
                <w:sz w:val="24"/>
              </w:rPr>
            </w:pPr>
            <w:r>
              <w:rPr>
                <w:rFonts w:hint="eastAsia"/>
                <w:sz w:val="24"/>
              </w:rPr>
              <w:t>五、口腔科：CT、牙片机老院移机；</w:t>
            </w:r>
          </w:p>
          <w:p>
            <w:pPr>
              <w:spacing w:line="440" w:lineRule="exact"/>
              <w:jc w:val="left"/>
              <w:rPr>
                <w:sz w:val="24"/>
              </w:rPr>
            </w:pPr>
            <w:r>
              <w:rPr>
                <w:rFonts w:hint="eastAsia"/>
                <w:sz w:val="24"/>
              </w:rPr>
              <w:t>六、移动DR:1 台</w:t>
            </w:r>
          </w:p>
        </w:tc>
        <w:tc>
          <w:tcPr>
            <w:tcW w:w="851" w:type="dxa"/>
            <w:vAlign w:val="center"/>
          </w:tcPr>
          <w:p>
            <w:pPr>
              <w:widowControl/>
              <w:jc w:val="center"/>
              <w:rPr>
                <w:kern w:val="0"/>
                <w:sz w:val="24"/>
              </w:rPr>
            </w:pPr>
            <w:r>
              <w:rPr>
                <w:rFonts w:hint="eastAsia"/>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64" w:type="dxa"/>
            <w:vAlign w:val="center"/>
          </w:tcPr>
          <w:p>
            <w:pPr>
              <w:widowControl/>
              <w:jc w:val="center"/>
              <w:rPr>
                <w:kern w:val="0"/>
                <w:sz w:val="24"/>
              </w:rPr>
            </w:pPr>
            <w:r>
              <w:rPr>
                <w:kern w:val="0"/>
                <w:sz w:val="24"/>
              </w:rPr>
              <w:t>4</w:t>
            </w:r>
          </w:p>
        </w:tc>
        <w:tc>
          <w:tcPr>
            <w:tcW w:w="1800" w:type="dxa"/>
            <w:vAlign w:val="center"/>
          </w:tcPr>
          <w:p>
            <w:pPr>
              <w:spacing w:line="440" w:lineRule="exact"/>
              <w:jc w:val="center"/>
              <w:rPr>
                <w:sz w:val="24"/>
              </w:rPr>
            </w:pPr>
            <w:r>
              <w:rPr>
                <w:rFonts w:hint="eastAsia"/>
                <w:sz w:val="24"/>
              </w:rPr>
              <w:t>建设项目辐射竣工环境保护验收</w:t>
            </w:r>
          </w:p>
        </w:tc>
        <w:tc>
          <w:tcPr>
            <w:tcW w:w="5170" w:type="dxa"/>
            <w:vAlign w:val="center"/>
          </w:tcPr>
          <w:p>
            <w:pPr>
              <w:spacing w:line="440" w:lineRule="exact"/>
              <w:jc w:val="left"/>
              <w:rPr>
                <w:sz w:val="24"/>
              </w:rPr>
            </w:pPr>
            <w:r>
              <w:rPr>
                <w:rFonts w:hint="eastAsia"/>
                <w:sz w:val="24"/>
              </w:rPr>
              <w:t>医用直线加速器1台</w:t>
            </w:r>
          </w:p>
        </w:tc>
        <w:tc>
          <w:tcPr>
            <w:tcW w:w="851" w:type="dxa"/>
            <w:vAlign w:val="center"/>
          </w:tcPr>
          <w:p>
            <w:pPr>
              <w:widowControl/>
              <w:jc w:val="center"/>
              <w:rPr>
                <w:kern w:val="0"/>
                <w:sz w:val="24"/>
              </w:rPr>
            </w:pPr>
            <w:r>
              <w:rPr>
                <w:rFonts w:hint="eastAsia"/>
                <w:kern w:val="0"/>
                <w:sz w:val="24"/>
              </w:rPr>
              <w:t>1</w:t>
            </w:r>
          </w:p>
        </w:tc>
      </w:tr>
      <w:bookmarkEnd w:id="0"/>
    </w:tbl>
    <w:p>
      <w:pPr>
        <w:spacing w:line="360" w:lineRule="auto"/>
        <w:rPr>
          <w:b/>
          <w:sz w:val="24"/>
          <w:szCs w:val="24"/>
          <w:lang w:val="zh-CN"/>
        </w:rPr>
      </w:pPr>
      <w:r>
        <w:rPr>
          <w:b/>
          <w:sz w:val="24"/>
          <w:szCs w:val="24"/>
          <w:lang w:val="zh-CN"/>
        </w:rPr>
        <w:t>三、</w:t>
      </w:r>
      <w:r>
        <w:rPr>
          <w:rFonts w:hint="eastAsia"/>
          <w:b/>
          <w:sz w:val="24"/>
          <w:szCs w:val="24"/>
          <w:lang w:val="zh-CN"/>
        </w:rPr>
        <w:t>服务</w:t>
      </w:r>
      <w:r>
        <w:rPr>
          <w:b/>
          <w:sz w:val="24"/>
          <w:szCs w:val="24"/>
          <w:lang w:val="zh-CN"/>
        </w:rPr>
        <w:t>技术要求</w:t>
      </w:r>
    </w:p>
    <w:p>
      <w:pPr>
        <w:spacing w:line="360" w:lineRule="auto"/>
        <w:ind w:firstLine="470" w:firstLineChars="196"/>
        <w:rPr>
          <w:sz w:val="24"/>
          <w:szCs w:val="24"/>
        </w:rPr>
      </w:pPr>
      <w:r>
        <w:rPr>
          <w:sz w:val="24"/>
          <w:szCs w:val="24"/>
        </w:rPr>
        <w:t>1.服务进度：自本合同生效之日起，在招标人通知后5个工作日内安排技术人员和医院对接工作。</w:t>
      </w:r>
    </w:p>
    <w:p>
      <w:pPr>
        <w:spacing w:line="360" w:lineRule="auto"/>
        <w:ind w:firstLine="470" w:firstLineChars="196"/>
        <w:rPr>
          <w:sz w:val="24"/>
          <w:szCs w:val="24"/>
        </w:rPr>
      </w:pPr>
      <w:r>
        <w:rPr>
          <w:sz w:val="24"/>
          <w:szCs w:val="24"/>
        </w:rPr>
        <w:t>2.服务地点：招标人指定地点。</w:t>
      </w:r>
    </w:p>
    <w:p>
      <w:pPr>
        <w:spacing w:line="360" w:lineRule="auto"/>
        <w:ind w:firstLine="470" w:firstLineChars="196"/>
        <w:rPr>
          <w:sz w:val="24"/>
          <w:szCs w:val="24"/>
        </w:rPr>
      </w:pPr>
      <w:r>
        <w:rPr>
          <w:sz w:val="24"/>
          <w:szCs w:val="24"/>
        </w:rPr>
        <w:t>3.服务期限：</w:t>
      </w:r>
      <w:r>
        <w:rPr>
          <w:rFonts w:hint="eastAsia"/>
          <w:color w:val="000000" w:themeColor="text1"/>
          <w:sz w:val="24"/>
          <w:szCs w:val="24"/>
          <w14:textFill>
            <w14:solidFill>
              <w14:schemeClr w14:val="tx1"/>
            </w14:solidFill>
          </w14:textFill>
        </w:rPr>
        <w:t>合同签订至本合同履行结束。</w:t>
      </w:r>
    </w:p>
    <w:p>
      <w:pPr>
        <w:spacing w:line="360" w:lineRule="auto"/>
        <w:ind w:firstLine="470" w:firstLineChars="196"/>
        <w:rPr>
          <w:sz w:val="24"/>
          <w:szCs w:val="24"/>
        </w:rPr>
      </w:pPr>
      <w:r>
        <w:rPr>
          <w:sz w:val="24"/>
          <w:szCs w:val="24"/>
        </w:rPr>
        <w:t>预评资料齐全后</w:t>
      </w:r>
      <w:r>
        <w:rPr>
          <w:rFonts w:hint="eastAsia"/>
          <w:sz w:val="24"/>
          <w:szCs w:val="24"/>
        </w:rPr>
        <w:t>30</w:t>
      </w:r>
      <w:r>
        <w:rPr>
          <w:sz w:val="24"/>
          <w:szCs w:val="24"/>
        </w:rPr>
        <w:t>个工作日内向招标人提交正式报告书；控评资料齐全后</w:t>
      </w:r>
      <w:r>
        <w:rPr>
          <w:rFonts w:hint="eastAsia"/>
          <w:sz w:val="24"/>
          <w:szCs w:val="24"/>
        </w:rPr>
        <w:t>30</w:t>
      </w:r>
      <w:r>
        <w:rPr>
          <w:sz w:val="24"/>
          <w:szCs w:val="24"/>
        </w:rPr>
        <w:t>个工作日内向招标人提交正式报告书；</w:t>
      </w:r>
      <w:r>
        <w:rPr>
          <w:rFonts w:hint="eastAsia"/>
          <w:sz w:val="24"/>
          <w:szCs w:val="24"/>
        </w:rPr>
        <w:t>环评</w:t>
      </w:r>
      <w:r>
        <w:rPr>
          <w:sz w:val="24"/>
          <w:szCs w:val="24"/>
        </w:rPr>
        <w:t>资料齐全后</w:t>
      </w:r>
      <w:r>
        <w:rPr>
          <w:rFonts w:hint="eastAsia"/>
          <w:sz w:val="24"/>
          <w:szCs w:val="24"/>
        </w:rPr>
        <w:t>15</w:t>
      </w:r>
      <w:r>
        <w:rPr>
          <w:sz w:val="24"/>
          <w:szCs w:val="24"/>
        </w:rPr>
        <w:t>个工作日内向招标人提交正式报告；</w:t>
      </w:r>
      <w:r>
        <w:rPr>
          <w:rFonts w:hint="eastAsia"/>
          <w:sz w:val="24"/>
          <w:szCs w:val="24"/>
        </w:rPr>
        <w:t>环保验收</w:t>
      </w:r>
      <w:r>
        <w:rPr>
          <w:sz w:val="24"/>
          <w:szCs w:val="24"/>
        </w:rPr>
        <w:t>资料齐全后</w:t>
      </w:r>
      <w:r>
        <w:rPr>
          <w:rFonts w:hint="eastAsia"/>
          <w:sz w:val="24"/>
          <w:szCs w:val="24"/>
        </w:rPr>
        <w:t>60</w:t>
      </w:r>
      <w:r>
        <w:rPr>
          <w:sz w:val="24"/>
          <w:szCs w:val="24"/>
        </w:rPr>
        <w:t>个工作日内向招标人提交正式报告书</w:t>
      </w:r>
      <w:r>
        <w:rPr>
          <w:rFonts w:hint="eastAsia"/>
          <w:sz w:val="24"/>
          <w:szCs w:val="24"/>
        </w:rPr>
        <w:t>。</w:t>
      </w:r>
    </w:p>
    <w:p>
      <w:pPr>
        <w:spacing w:line="360" w:lineRule="auto"/>
        <w:ind w:firstLine="470" w:firstLineChars="196"/>
        <w:rPr>
          <w:sz w:val="24"/>
          <w:szCs w:val="24"/>
        </w:rPr>
      </w:pPr>
      <w:r>
        <w:rPr>
          <w:sz w:val="24"/>
          <w:szCs w:val="24"/>
        </w:rPr>
        <w:t>4.项目负责人：投标时提供项目总负责人及联系方式。</w:t>
      </w:r>
    </w:p>
    <w:p>
      <w:pPr>
        <w:spacing w:line="360" w:lineRule="auto"/>
        <w:ind w:firstLine="470" w:firstLineChars="196"/>
        <w:rPr>
          <w:sz w:val="24"/>
          <w:szCs w:val="24"/>
        </w:rPr>
      </w:pPr>
      <w:r>
        <w:rPr>
          <w:sz w:val="24"/>
          <w:szCs w:val="24"/>
        </w:rPr>
        <w:t>5.报价：</w:t>
      </w:r>
      <w:r>
        <w:rPr>
          <w:b/>
          <w:sz w:val="24"/>
          <w:szCs w:val="24"/>
        </w:rPr>
        <w:t>本次报价应包含</w:t>
      </w:r>
      <w:r>
        <w:rPr>
          <w:rFonts w:hAnsi="宋体"/>
          <w:b/>
          <w:sz w:val="24"/>
          <w:szCs w:val="24"/>
        </w:rPr>
        <w:t>射线装置技术</w:t>
      </w:r>
      <w:r>
        <w:rPr>
          <w:b/>
          <w:sz w:val="24"/>
          <w:szCs w:val="24"/>
        </w:rPr>
        <w:t>服务费以及投标人中标后自行承担的选派专业人员的住宿、就餐和交通费</w:t>
      </w:r>
      <w:r>
        <w:rPr>
          <w:rFonts w:hint="eastAsia"/>
          <w:b/>
          <w:sz w:val="24"/>
          <w:szCs w:val="24"/>
        </w:rPr>
        <w:t>、</w:t>
      </w:r>
      <w:r>
        <w:rPr>
          <w:b/>
          <w:sz w:val="24"/>
          <w:szCs w:val="24"/>
        </w:rPr>
        <w:t>专家评审费、税费</w:t>
      </w:r>
      <w:r>
        <w:rPr>
          <w:rFonts w:hint="eastAsia"/>
          <w:b/>
          <w:sz w:val="24"/>
          <w:szCs w:val="24"/>
          <w:lang w:val="en-US" w:eastAsia="zh-CN"/>
        </w:rPr>
        <w:t>以及</w:t>
      </w:r>
      <w:r>
        <w:rPr>
          <w:rFonts w:hint="eastAsia"/>
          <w:sz w:val="24"/>
        </w:rPr>
        <w:t>建设项目辐射竣工环境保护验收</w:t>
      </w:r>
      <w:r>
        <w:rPr>
          <w:b/>
          <w:sz w:val="24"/>
          <w:szCs w:val="24"/>
        </w:rPr>
        <w:t>等一切费用</w:t>
      </w:r>
      <w:r>
        <w:rPr>
          <w:sz w:val="24"/>
          <w:szCs w:val="24"/>
        </w:rPr>
        <w:t>。</w:t>
      </w:r>
    </w:p>
    <w:p>
      <w:pPr>
        <w:spacing w:line="360" w:lineRule="auto"/>
        <w:ind w:firstLine="470" w:firstLineChars="196"/>
        <w:rPr>
          <w:sz w:val="24"/>
          <w:szCs w:val="24"/>
        </w:rPr>
      </w:pPr>
      <w:r>
        <w:rPr>
          <w:sz w:val="24"/>
          <w:szCs w:val="24"/>
        </w:rPr>
        <w:t>6.验收：以提交报告书是否符合我国最新放射卫生法规标准、辐射环保法规标准和当地行政部门的要求验收。</w:t>
      </w:r>
    </w:p>
    <w:p>
      <w:pPr>
        <w:spacing w:line="360" w:lineRule="auto"/>
        <w:ind w:firstLine="470" w:firstLineChars="196"/>
        <w:rPr>
          <w:color w:val="FFFFFF" w:themeColor="background1"/>
          <w:sz w:val="24"/>
          <w:szCs w:val="24"/>
          <w14:textFill>
            <w14:solidFill>
              <w14:schemeClr w14:val="bg1"/>
            </w14:solidFill>
          </w14:textFill>
        </w:rPr>
      </w:pPr>
      <w:r>
        <w:rPr>
          <w:sz w:val="24"/>
          <w:szCs w:val="24"/>
        </w:rPr>
        <w:t>7.付款方式：</w:t>
      </w:r>
      <w:r>
        <w:rPr>
          <w:rFonts w:hint="eastAsia"/>
          <w:sz w:val="24"/>
          <w:szCs w:val="24"/>
        </w:rPr>
        <w:t>每完成一次报告，验收</w:t>
      </w:r>
      <w:r>
        <w:rPr>
          <w:sz w:val="24"/>
          <w:szCs w:val="24"/>
        </w:rPr>
        <w:t>合格后按实际服务结算</w:t>
      </w:r>
      <w:r>
        <w:rPr>
          <w:rFonts w:hint="eastAsia"/>
          <w:sz w:val="24"/>
          <w:szCs w:val="24"/>
        </w:rPr>
        <w:t>，支付实际服务费的1</w:t>
      </w:r>
      <w:r>
        <w:rPr>
          <w:sz w:val="24"/>
          <w:szCs w:val="24"/>
        </w:rPr>
        <w:t>00</w:t>
      </w:r>
      <w:r>
        <w:rPr>
          <w:rFonts w:hint="eastAsia"/>
          <w:sz w:val="24"/>
          <w:szCs w:val="24"/>
        </w:rPr>
        <w:t>%。</w:t>
      </w:r>
    </w:p>
    <w:p>
      <w:pPr>
        <w:pStyle w:val="6"/>
        <w:spacing w:line="360" w:lineRule="auto"/>
        <w:ind w:firstLine="480"/>
        <w:rPr>
          <w:rFonts w:hAnsi="宋体"/>
          <w:sz w:val="24"/>
          <w:szCs w:val="24"/>
        </w:rPr>
      </w:pPr>
      <w:r>
        <w:rPr>
          <w:rFonts w:ascii="Times New Roman" w:hAnsi="Times New Roman"/>
          <w:sz w:val="24"/>
          <w:szCs w:val="24"/>
        </w:rPr>
        <w:t>8.按医院实际需求完成射线装置评价服务项目，并按实际完成项目支付相关服务费</w:t>
      </w:r>
      <w:r>
        <w:rPr>
          <w:rFonts w:hint="eastAsia" w:ascii="Times New Roman" w:hAnsi="Times New Roman"/>
          <w:sz w:val="24"/>
          <w:szCs w:val="24"/>
        </w:rPr>
        <w:t>。</w:t>
      </w:r>
      <w:r>
        <w:rPr>
          <w:rFonts w:ascii="Times New Roman" w:hAnsi="Times New Roman"/>
          <w:b/>
          <w:sz w:val="36"/>
        </w:rPr>
        <w:br w:type="page"/>
      </w:r>
    </w:p>
    <w:p>
      <w:pPr>
        <w:spacing w:line="360" w:lineRule="auto"/>
        <w:jc w:val="center"/>
        <w:rPr>
          <w:rFonts w:ascii="宋体" w:hAnsi="宋体"/>
          <w:b/>
          <w:sz w:val="32"/>
          <w:szCs w:val="32"/>
        </w:rPr>
      </w:pPr>
      <w:r>
        <w:rPr>
          <w:rFonts w:hint="eastAsia" w:ascii="宋体" w:hAnsi="宋体"/>
          <w:b/>
          <w:sz w:val="32"/>
          <w:szCs w:val="32"/>
        </w:rPr>
        <w:t>第四章   投标文件要求</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一、对投标文件的要求</w:t>
      </w:r>
    </w:p>
    <w:p>
      <w:pPr>
        <w:widowControl/>
        <w:spacing w:line="420" w:lineRule="atLeast"/>
        <w:ind w:firstLine="480"/>
        <w:rPr>
          <w:rFonts w:ascii="宋体" w:hAnsi="宋体" w:cs="宋体"/>
          <w:kern w:val="0"/>
          <w:sz w:val="24"/>
          <w:szCs w:val="24"/>
        </w:rPr>
      </w:pPr>
      <w:r>
        <w:rPr>
          <w:rFonts w:hint="eastAsia" w:ascii="宋体" w:hAnsi="宋体"/>
          <w:sz w:val="24"/>
          <w:szCs w:val="21"/>
        </w:rPr>
        <w:t>1．投标方应仔细阅读招标文件的所有内容，按招标文件的要求提供投标文件，并保证所提供的全部资料的真实性，以使其投标对招标文件做出实质性响应，否则，其投标可能被拒绝</w:t>
      </w:r>
      <w:r>
        <w:rPr>
          <w:rFonts w:hint="eastAsia" w:ascii="宋体" w:hAnsi="宋体" w:cs="宋体"/>
          <w:kern w:val="0"/>
          <w:sz w:val="24"/>
          <w:szCs w:val="24"/>
        </w:rPr>
        <w:t>。</w:t>
      </w:r>
    </w:p>
    <w:p>
      <w:pPr>
        <w:widowControl/>
        <w:spacing w:line="420" w:lineRule="atLeast"/>
        <w:ind w:firstLine="480"/>
        <w:rPr>
          <w:rFonts w:ascii="宋体" w:hAnsi="宋体"/>
          <w:sz w:val="24"/>
          <w:szCs w:val="21"/>
        </w:rPr>
      </w:pPr>
      <w:r>
        <w:rPr>
          <w:rFonts w:ascii="宋体" w:hAnsi="宋体"/>
          <w:sz w:val="24"/>
          <w:szCs w:val="21"/>
        </w:rPr>
        <w:t>2</w:t>
      </w:r>
      <w:r>
        <w:rPr>
          <w:rFonts w:hint="eastAsia" w:ascii="宋体" w:hAnsi="宋体"/>
          <w:sz w:val="24"/>
          <w:szCs w:val="21"/>
        </w:rPr>
        <w:t>．</w:t>
      </w:r>
      <w:r>
        <w:rPr>
          <w:rFonts w:ascii="宋体" w:hAnsi="宋体"/>
          <w:sz w:val="24"/>
          <w:szCs w:val="21"/>
        </w:rPr>
        <w:t>在招标文件对技术要求中，投标人必须充分应答和满足用户的强制性的需求，如“★”等，否则将导致废标。</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二、投标文件的组成</w:t>
      </w:r>
    </w:p>
    <w:p>
      <w:pPr>
        <w:widowControl/>
        <w:spacing w:line="420" w:lineRule="atLeast"/>
        <w:ind w:firstLine="480"/>
        <w:rPr>
          <w:rFonts w:ascii="宋体" w:hAnsi="宋体" w:cs="宋体"/>
          <w:b/>
          <w:bCs/>
          <w:kern w:val="0"/>
          <w:sz w:val="24"/>
          <w:szCs w:val="24"/>
        </w:rPr>
      </w:pPr>
      <w:r>
        <w:rPr>
          <w:rFonts w:hint="eastAsia" w:ascii="宋体" w:hAnsi="宋体" w:cs="宋体"/>
          <w:b/>
          <w:bCs/>
          <w:kern w:val="0"/>
          <w:sz w:val="24"/>
          <w:szCs w:val="24"/>
        </w:rPr>
        <w:t>递交的投标文件应分为技术标和商务标，技术标为除商务报价外的所有内容，且技术标和商务标分开制作，并单独密封包装。</w:t>
      </w:r>
      <w:r>
        <w:rPr>
          <w:rFonts w:ascii="宋体" w:hAnsi="宋体" w:cs="宋体"/>
          <w:b/>
          <w:bCs/>
          <w:kern w:val="0"/>
          <w:sz w:val="24"/>
          <w:szCs w:val="24"/>
        </w:rPr>
        <w:t>技术标（含资信与服务）不得含商务报价，否则作无效标处理。</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技术标：</w:t>
      </w:r>
    </w:p>
    <w:p>
      <w:pPr>
        <w:pStyle w:val="6"/>
        <w:spacing w:line="460" w:lineRule="exact"/>
        <w:ind w:firstLine="480" w:firstLineChars="200"/>
        <w:rPr>
          <w:rFonts w:hAnsi="宋体" w:cs="宋体"/>
          <w:kern w:val="0"/>
          <w:sz w:val="24"/>
          <w:szCs w:val="24"/>
        </w:rPr>
      </w:pPr>
      <w:r>
        <w:rPr>
          <w:rFonts w:hint="eastAsia" w:hAnsi="宋体" w:cs="宋体"/>
          <w:kern w:val="0"/>
          <w:sz w:val="24"/>
          <w:szCs w:val="24"/>
        </w:rPr>
        <w:t>应包括下列内容（包含但不仅限于以下）并应按顺序装订成册(复印件需加盖单位公章，提供的所有证书应在有效期内)</w:t>
      </w:r>
    </w:p>
    <w:p>
      <w:pPr>
        <w:pStyle w:val="6"/>
        <w:spacing w:line="460" w:lineRule="exact"/>
        <w:ind w:firstLine="480" w:firstLineChars="200"/>
        <w:rPr>
          <w:rFonts w:hAnsi="宋体" w:cs="宋体"/>
          <w:kern w:val="0"/>
          <w:sz w:val="24"/>
          <w:szCs w:val="24"/>
        </w:rPr>
      </w:pPr>
      <w:r>
        <w:rPr>
          <w:rFonts w:hint="eastAsia" w:hAnsi="宋体" w:cs="宋体"/>
          <w:kern w:val="0"/>
          <w:sz w:val="24"/>
          <w:szCs w:val="24"/>
        </w:rPr>
        <w:t>（1）营业执照副本（复印件加盖公章）；组织机构代码证副本（复印件加盖公章）、税务登记证副本（复印件加盖公章）；</w:t>
      </w:r>
    </w:p>
    <w:p>
      <w:pPr>
        <w:pStyle w:val="6"/>
        <w:spacing w:line="460" w:lineRule="exact"/>
        <w:ind w:firstLine="480" w:firstLineChars="200"/>
        <w:rPr>
          <w:rFonts w:hAnsi="宋体" w:cs="宋体"/>
          <w:kern w:val="0"/>
          <w:sz w:val="24"/>
          <w:szCs w:val="24"/>
        </w:rPr>
      </w:pPr>
      <w:r>
        <w:rPr>
          <w:rFonts w:hint="eastAsia" w:hAnsi="宋体" w:cs="宋体"/>
          <w:kern w:val="0"/>
          <w:sz w:val="24"/>
          <w:szCs w:val="24"/>
        </w:rPr>
        <w:t>（2）法人资格证明或法人代表授权书；</w:t>
      </w:r>
    </w:p>
    <w:p>
      <w:pPr>
        <w:pStyle w:val="6"/>
        <w:spacing w:line="460" w:lineRule="exact"/>
        <w:ind w:firstLine="480" w:firstLineChars="200"/>
        <w:rPr>
          <w:rFonts w:hAnsi="宋体" w:cs="宋体"/>
          <w:kern w:val="0"/>
          <w:sz w:val="24"/>
          <w:szCs w:val="24"/>
        </w:rPr>
      </w:pPr>
      <w:r>
        <w:rPr>
          <w:rFonts w:hint="eastAsia" w:hAnsi="宋体" w:cs="宋体"/>
          <w:kern w:val="0"/>
          <w:sz w:val="24"/>
          <w:szCs w:val="24"/>
        </w:rPr>
        <w:t>（3）法定代表人或授权代表的身份证（复印件）；</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（4）售后服务的及时性等保证措施；</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）对本次服务的具体方案，包括服务方案、服务团队、常驻联系人等；</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）产品质量保证措施、产品的质量保证承诺；</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7</w:t>
      </w:r>
      <w:r>
        <w:rPr>
          <w:rFonts w:hint="eastAsia" w:ascii="宋体" w:hAnsi="宋体" w:cs="宋体"/>
          <w:kern w:val="0"/>
          <w:sz w:val="24"/>
          <w:szCs w:val="24"/>
        </w:rPr>
        <w:t>）售前、售后服务内容和服务承诺；</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8</w:t>
      </w:r>
      <w:r>
        <w:rPr>
          <w:rFonts w:hint="eastAsia" w:ascii="宋体" w:hAnsi="宋体" w:cs="宋体"/>
          <w:kern w:val="0"/>
          <w:sz w:val="24"/>
          <w:szCs w:val="24"/>
        </w:rPr>
        <w:t>）投标人能够给予招标人的其他优惠条件；</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9</w:t>
      </w:r>
      <w:r>
        <w:rPr>
          <w:rFonts w:hint="eastAsia" w:ascii="宋体" w:hAnsi="宋体" w:cs="宋体"/>
          <w:kern w:val="0"/>
          <w:sz w:val="24"/>
          <w:szCs w:val="24"/>
        </w:rPr>
        <w:t>）其他投标人认为应该提交给招标人的资料（如业绩）；</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10</w:t>
      </w:r>
      <w:r>
        <w:rPr>
          <w:rFonts w:hint="eastAsia" w:ascii="宋体" w:hAnsi="宋体" w:cs="宋体"/>
          <w:kern w:val="0"/>
          <w:sz w:val="24"/>
          <w:szCs w:val="24"/>
        </w:rPr>
        <w:t>）各种能体现投标人实力的响应内容或有利于招标人的各种承诺等；</w:t>
      </w:r>
    </w:p>
    <w:p>
      <w:pPr>
        <w:widowControl/>
        <w:spacing w:line="420" w:lineRule="atLeast"/>
        <w:ind w:left="480"/>
        <w:rPr>
          <w:rFonts w:ascii="宋体" w:hAnsi="宋体" w:cs="宋体"/>
          <w:kern w:val="0"/>
          <w:sz w:val="24"/>
          <w:szCs w:val="24"/>
        </w:rPr>
      </w:pP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商务标：</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（1）投标函（附件三）</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（2）报价一览表（附件五）</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（3）投标报价明细表（附件六）</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三、投标报价要求</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1．投标均以人民币报价。</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投标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kern w:val="0"/>
          <w:sz w:val="24"/>
          <w:szCs w:val="24"/>
        </w:rPr>
        <w:t>。</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投标文件报价出现前后不一致的，按照下列规定修正：</w:t>
      </w:r>
    </w:p>
    <w:p>
      <w:pPr>
        <w:snapToGrid w:val="0"/>
        <w:spacing w:line="420" w:lineRule="atLeast"/>
        <w:ind w:firstLine="480" w:firstLineChars="20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投标文件中开标一览表（报价表）内容与投标文件中相应内容不一致的，以开标一览表（报价表）为准；</w:t>
      </w:r>
    </w:p>
    <w:p>
      <w:pPr>
        <w:snapToGrid w:val="0"/>
        <w:spacing w:line="420" w:lineRule="atLeast"/>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大写金额和小写金额不一致的，以大写金额为准；</w:t>
      </w:r>
    </w:p>
    <w:p>
      <w:pPr>
        <w:snapToGrid w:val="0"/>
        <w:spacing w:line="420" w:lineRule="atLeast"/>
        <w:ind w:firstLine="480" w:firstLineChars="200"/>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单价金额小数点或者百分比有明显错位的，以开标一览表的总价为准，并修改单价；</w:t>
      </w:r>
    </w:p>
    <w:p>
      <w:pPr>
        <w:snapToGrid w:val="0"/>
        <w:spacing w:line="420" w:lineRule="atLeast"/>
        <w:ind w:firstLine="480" w:firstLineChars="20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总价金额与按单价汇总金额不一致的，以单价金额计算结果为准。</w:t>
      </w:r>
    </w:p>
    <w:p>
      <w:pPr>
        <w:pStyle w:val="6"/>
        <w:spacing w:line="420" w:lineRule="atLeast"/>
        <w:ind w:firstLine="480" w:firstLineChars="200"/>
        <w:rPr>
          <w:rFonts w:hAnsi="宋体" w:cs="宋体"/>
          <w:kern w:val="0"/>
          <w:sz w:val="24"/>
          <w:szCs w:val="24"/>
        </w:rPr>
      </w:pPr>
      <w:r>
        <w:rPr>
          <w:rFonts w:hAnsi="宋体" w:cs="宋体"/>
          <w:kern w:val="0"/>
          <w:sz w:val="24"/>
          <w:szCs w:val="24"/>
        </w:rPr>
        <w:t>同时出现两种以上不一致的，按照前款规定的顺序修正。修正后的报价由投标人法定代表人或其授权代表签字确认后产生约束力，投标人不确认的，其投标无效。</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中标后，</w:t>
      </w:r>
      <w:r>
        <w:rPr>
          <w:rFonts w:ascii="宋体" w:hAnsi="宋体" w:cs="宋体"/>
          <w:b/>
          <w:kern w:val="0"/>
          <w:sz w:val="24"/>
          <w:szCs w:val="24"/>
        </w:rPr>
        <w:t>中标人所填写的单价在合同实施期间不因市场变化因素而变动</w:t>
      </w:r>
      <w:r>
        <w:rPr>
          <w:rFonts w:ascii="宋体" w:hAnsi="宋体" w:cs="宋体"/>
          <w:kern w:val="0"/>
          <w:sz w:val="24"/>
          <w:szCs w:val="24"/>
        </w:rPr>
        <w:t>；投标人在计算报价时应考虑一定的风险系数。</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投标人应按招标文件规定的报价格式进行投标报价。投标人对每种货物只允许有一个报价，采购人不接受任何有选择性的报价。</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四、投标文件制作要求</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1．投标文件正本必须用不退色的墨水填写或打印，幅面规格A4并装订成册，副本可用复印件。投标文件须一式</w:t>
      </w:r>
      <w:r>
        <w:rPr>
          <w:rFonts w:ascii="宋体" w:hAnsi="宋体" w:cs="宋体"/>
          <w:kern w:val="0"/>
          <w:sz w:val="24"/>
          <w:szCs w:val="24"/>
        </w:rPr>
        <w:t>2</w:t>
      </w:r>
      <w:r>
        <w:rPr>
          <w:rFonts w:hint="eastAsia" w:ascii="宋体" w:hAnsi="宋体" w:cs="宋体"/>
          <w:kern w:val="0"/>
          <w:sz w:val="24"/>
          <w:szCs w:val="24"/>
        </w:rPr>
        <w:t>份（正本1份，副本</w:t>
      </w:r>
      <w:r>
        <w:rPr>
          <w:rFonts w:ascii="宋体" w:hAnsi="宋体" w:cs="宋体"/>
          <w:kern w:val="0"/>
          <w:sz w:val="24"/>
          <w:szCs w:val="24"/>
        </w:rPr>
        <w:t>1</w:t>
      </w:r>
      <w:r>
        <w:rPr>
          <w:rFonts w:hint="eastAsia" w:ascii="宋体" w:hAnsi="宋体" w:cs="宋体"/>
          <w:kern w:val="0"/>
          <w:sz w:val="24"/>
          <w:szCs w:val="24"/>
        </w:rPr>
        <w:t>份），分别加盖“正本”“副本”印章。正本与副本如有差别，以正本为准，责任由投标人自负。</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2．投标文件中不许有加行、涂抹或改写。若修改错漏处，须由法定代表人或其授权代表签字并加盖单位公章方可生效。</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3．投标文件封面应标明“正本”或“副本”字样。</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4．</w:t>
      </w:r>
      <w:r>
        <w:rPr>
          <w:rFonts w:hint="eastAsia" w:ascii="宋体" w:hAnsi="宋体" w:cs="宋体"/>
          <w:b/>
          <w:bCs/>
          <w:kern w:val="0"/>
          <w:sz w:val="24"/>
          <w:szCs w:val="24"/>
        </w:rPr>
        <w:t>技术标和商务标分开制作并单独密封包装，全部投标文件应装入同一密封袋内，封口处应有投标人法定代表人或其授权代表签字并加盖投标单位公章；封面注明招标项目名称和编号，投标人的名称、地址、邮编、传真、联系电话、联系人。</w:t>
      </w:r>
    </w:p>
    <w:p>
      <w:pPr>
        <w:widowControl/>
        <w:spacing w:line="420" w:lineRule="atLeast"/>
        <w:rPr>
          <w:rFonts w:ascii="宋体" w:hAnsi="宋体" w:cs="宋体"/>
          <w:b/>
          <w:kern w:val="0"/>
          <w:sz w:val="24"/>
          <w:szCs w:val="24"/>
        </w:rPr>
      </w:pPr>
      <w:r>
        <w:rPr>
          <w:rFonts w:hint="eastAsia" w:ascii="宋体" w:hAnsi="宋体" w:cs="宋体"/>
          <w:b/>
          <w:kern w:val="0"/>
          <w:sz w:val="24"/>
          <w:szCs w:val="24"/>
        </w:rPr>
        <w:t xml:space="preserve">    五 、投标文件的送达时间 </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1．开标地点即为投标文件的递交地点，招标人在投标截止时间前一小时内接收投标文件。</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2．投标截止时间即为开标时间，招标方将拒绝在投标截止时间后收到的投标文件。</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六、投标单位有下列情况之一的，</w:t>
      </w:r>
      <w:r>
        <w:rPr>
          <w:rFonts w:hint="eastAsia" w:ascii="宋体" w:hAnsi="宋体" w:cs="宋体"/>
          <w:b/>
          <w:kern w:val="0"/>
          <w:sz w:val="24"/>
          <w:szCs w:val="24"/>
          <w:lang w:val="en-GB"/>
        </w:rPr>
        <w:t>其投标将可能被拒绝或作无效投标处理：</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1．未在规定时间内将投标书送达规定地点的。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2．投标书未按规定密封或未按要求加盖公章或投标文件签署不符合要求的。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3．投标文件无法人代表签字或签字无法人代表有效委托的。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4．投标单位不符合投标单位资格要求的。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5．投标单位不符合产品报价要求的。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6</w:t>
      </w:r>
      <w:r>
        <w:rPr>
          <w:rFonts w:ascii="宋体" w:hAnsi="宋体" w:cs="宋体"/>
          <w:kern w:val="0"/>
          <w:sz w:val="24"/>
          <w:szCs w:val="24"/>
        </w:rPr>
        <w:t>.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7．投标文件中提供伪造、虚假材料的。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8．</w:t>
      </w:r>
      <w:r>
        <w:rPr>
          <w:rFonts w:ascii="宋体" w:hAnsi="宋体" w:cs="宋体"/>
          <w:kern w:val="0"/>
          <w:sz w:val="24"/>
          <w:szCs w:val="24"/>
        </w:rPr>
        <w:t>对本招标文件中打★号的条款未完全响应的</w:t>
      </w:r>
      <w:r>
        <w:rPr>
          <w:rFonts w:hint="eastAsia" w:ascii="宋体" w:hAnsi="宋体" w:cs="宋体"/>
          <w:kern w:val="0"/>
          <w:sz w:val="24"/>
          <w:szCs w:val="24"/>
        </w:rPr>
        <w:t>。</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9</w:t>
      </w:r>
      <w:r>
        <w:rPr>
          <w:rFonts w:ascii="宋体" w:hAnsi="宋体" w:cs="宋体"/>
          <w:kern w:val="0"/>
          <w:sz w:val="24"/>
          <w:szCs w:val="24"/>
        </w:rPr>
        <w:t>.投标文件附有采购人不能接受的条件</w:t>
      </w:r>
      <w:r>
        <w:rPr>
          <w:rFonts w:hint="eastAsia" w:ascii="宋体" w:hAnsi="宋体" w:cs="宋体"/>
          <w:kern w:val="0"/>
          <w:sz w:val="24"/>
          <w:szCs w:val="24"/>
        </w:rPr>
        <w:t>。</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10</w:t>
      </w:r>
      <w:r>
        <w:rPr>
          <w:rFonts w:ascii="宋体" w:hAnsi="宋体" w:cs="宋体"/>
          <w:kern w:val="0"/>
          <w:sz w:val="24"/>
          <w:szCs w:val="24"/>
        </w:rPr>
        <w:t>.技术标中体现或包含商务报价。</w:t>
      </w:r>
    </w:p>
    <w:p>
      <w:pPr>
        <w:widowControl/>
        <w:spacing w:line="420" w:lineRule="atLeast"/>
        <w:ind w:firstLine="480"/>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1</w:t>
      </w:r>
      <w:r>
        <w:rPr>
          <w:rFonts w:ascii="宋体" w:hAnsi="宋体" w:cs="宋体"/>
          <w:kern w:val="0"/>
          <w:sz w:val="24"/>
          <w:szCs w:val="24"/>
        </w:rPr>
        <w:t>.若发现有意串标或提供虚假说明材料者</w:t>
      </w:r>
      <w:r>
        <w:rPr>
          <w:rFonts w:hint="eastAsia" w:ascii="宋体" w:hAnsi="宋体" w:cs="宋体"/>
          <w:kern w:val="0"/>
          <w:sz w:val="24"/>
          <w:szCs w:val="24"/>
        </w:rPr>
        <w:t>。</w:t>
      </w:r>
    </w:p>
    <w:p>
      <w:pPr>
        <w:widowControl/>
        <w:spacing w:line="420" w:lineRule="atLeast"/>
        <w:ind w:firstLine="480"/>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2</w:t>
      </w:r>
      <w:r>
        <w:rPr>
          <w:rFonts w:ascii="宋体" w:hAnsi="宋体" w:cs="宋体"/>
          <w:kern w:val="0"/>
          <w:sz w:val="24"/>
          <w:szCs w:val="24"/>
        </w:rPr>
        <w:t>.评标小组认为技术或商务与招标文件偏离的部分过多，或在实质上不响应招标文件的</w:t>
      </w:r>
      <w:r>
        <w:rPr>
          <w:rFonts w:hint="eastAsia" w:ascii="宋体" w:hAnsi="宋体" w:cs="宋体"/>
          <w:kern w:val="0"/>
          <w:sz w:val="24"/>
          <w:szCs w:val="24"/>
        </w:rPr>
        <w:t>。</w:t>
      </w: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spacing w:line="360" w:lineRule="auto"/>
        <w:jc w:val="center"/>
        <w:rPr>
          <w:rFonts w:ascii="宋体" w:hAnsi="宋体"/>
          <w:b/>
          <w:sz w:val="32"/>
          <w:szCs w:val="32"/>
        </w:rPr>
      </w:pPr>
      <w:r>
        <w:rPr>
          <w:rFonts w:hint="eastAsia" w:ascii="宋体" w:hAnsi="宋体"/>
          <w:b/>
          <w:sz w:val="32"/>
          <w:szCs w:val="32"/>
        </w:rPr>
        <w:t>第五章   评标办法</w:t>
      </w:r>
    </w:p>
    <w:p>
      <w:pPr>
        <w:pStyle w:val="6"/>
        <w:spacing w:line="360" w:lineRule="auto"/>
        <w:rPr>
          <w:rFonts w:hAnsi="宋体"/>
          <w:b/>
          <w:bCs/>
          <w:sz w:val="24"/>
          <w:szCs w:val="24"/>
        </w:rPr>
      </w:pPr>
      <w:r>
        <w:rPr>
          <w:rFonts w:hint="eastAsia" w:hAnsi="宋体"/>
          <w:b/>
          <w:bCs/>
          <w:sz w:val="24"/>
          <w:szCs w:val="24"/>
        </w:rPr>
        <w:t>一</w:t>
      </w:r>
      <w:r>
        <w:rPr>
          <w:rFonts w:hAnsi="宋体"/>
          <w:b/>
          <w:bCs/>
          <w:sz w:val="24"/>
          <w:szCs w:val="24"/>
        </w:rPr>
        <w:t>、评</w:t>
      </w:r>
      <w:r>
        <w:rPr>
          <w:rFonts w:hint="eastAsia" w:hAnsi="宋体"/>
          <w:b/>
          <w:bCs/>
          <w:sz w:val="24"/>
          <w:szCs w:val="24"/>
        </w:rPr>
        <w:t>标</w:t>
      </w:r>
      <w:r>
        <w:rPr>
          <w:rFonts w:hAnsi="宋体"/>
          <w:b/>
          <w:bCs/>
          <w:sz w:val="24"/>
          <w:szCs w:val="24"/>
        </w:rPr>
        <w:t>办法</w:t>
      </w:r>
    </w:p>
    <w:p>
      <w:pPr>
        <w:adjustRightInd w:val="0"/>
        <w:snapToGrid w:val="0"/>
        <w:spacing w:line="360" w:lineRule="auto"/>
        <w:ind w:firstLine="480" w:firstLineChars="200"/>
        <w:rPr>
          <w:rFonts w:ascii="宋体" w:hAnsi="宋体"/>
          <w:sz w:val="24"/>
          <w:szCs w:val="24"/>
        </w:rPr>
      </w:pPr>
      <w:r>
        <w:rPr>
          <w:rFonts w:ascii="宋体" w:hAnsi="宋体"/>
          <w:sz w:val="24"/>
          <w:szCs w:val="24"/>
        </w:rPr>
        <w:t>评标采用综合评分法，评标委员会从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pPr>
        <w:adjustRightInd w:val="0"/>
        <w:snapToGrid w:val="0"/>
        <w:spacing w:line="360" w:lineRule="auto"/>
        <w:jc w:val="center"/>
        <w:rPr>
          <w:rFonts w:ascii="宋体" w:hAnsi="宋体"/>
          <w:b/>
          <w:sz w:val="24"/>
          <w:szCs w:val="24"/>
        </w:rPr>
      </w:pPr>
      <w:r>
        <w:rPr>
          <w:rFonts w:ascii="宋体" w:hAnsi="宋体"/>
          <w:b/>
          <w:sz w:val="24"/>
          <w:szCs w:val="24"/>
        </w:rPr>
        <w:t>每个投标人最终得分=商务报价分+技术分</w:t>
      </w:r>
    </w:p>
    <w:p>
      <w:pPr>
        <w:adjustRightInd w:val="0"/>
        <w:snapToGrid w:val="0"/>
        <w:spacing w:line="360" w:lineRule="auto"/>
        <w:rPr>
          <w:rFonts w:ascii="宋体" w:hAnsi="宋体"/>
          <w:sz w:val="24"/>
          <w:szCs w:val="24"/>
        </w:rPr>
      </w:pPr>
      <w:r>
        <w:rPr>
          <w:rFonts w:ascii="宋体" w:hAnsi="宋体"/>
          <w:sz w:val="24"/>
          <w:szCs w:val="24"/>
        </w:rPr>
        <w:t>评标委员会推荐得分最高的投标人为第一中标候选人、得分次高的投标人为第二中标候选人（如果得分相同，则按投标人报价从低到高顺序推荐为中标候选人；如果投标报价也相同，则抽签决定），并编写评标报告</w:t>
      </w:r>
      <w:r>
        <w:rPr>
          <w:rFonts w:hint="eastAsia" w:ascii="宋体" w:hAnsi="宋体"/>
          <w:sz w:val="24"/>
          <w:szCs w:val="24"/>
        </w:rPr>
        <w:t>。</w:t>
      </w:r>
    </w:p>
    <w:p>
      <w:pPr>
        <w:adjustRightInd w:val="0"/>
        <w:snapToGrid w:val="0"/>
        <w:spacing w:line="360" w:lineRule="auto"/>
        <w:rPr>
          <w:rFonts w:ascii="宋体" w:hAnsi="宋体"/>
          <w:b/>
          <w:sz w:val="24"/>
          <w:szCs w:val="24"/>
        </w:rPr>
      </w:pPr>
      <w:r>
        <w:rPr>
          <w:rFonts w:hint="eastAsia" w:ascii="宋体" w:hAnsi="宋体"/>
          <w:b/>
          <w:sz w:val="24"/>
          <w:szCs w:val="24"/>
        </w:rPr>
        <w:t>1、技术评审（总分80分）</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由评标专家负责对投标文件的技术部分采用记名方式各自评分。</w:t>
      </w:r>
      <w:r>
        <w:rPr>
          <w:rFonts w:hint="eastAsia" w:ascii="宋体" w:hAnsi="宋体" w:cs="黑体"/>
          <w:sz w:val="24"/>
          <w:szCs w:val="24"/>
        </w:rPr>
        <w:t>投标人的最终技术部分的得分</w:t>
      </w:r>
      <w:r>
        <w:rPr>
          <w:rFonts w:hint="eastAsia" w:ascii="宋体" w:hAnsi="宋体"/>
          <w:sz w:val="24"/>
          <w:szCs w:val="24"/>
        </w:rPr>
        <w:t>为全体评标专家评分的算术平均值。如某一份评分表中某一项评分，超过评分细则所规定的分值范围，则该张打分表无效。</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6943"/>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57" w:type="dxa"/>
            <w:gridSpan w:val="2"/>
            <w:vAlign w:val="center"/>
          </w:tcPr>
          <w:p>
            <w:pPr>
              <w:spacing w:line="240" w:lineRule="atLeast"/>
              <w:ind w:firstLine="482"/>
              <w:jc w:val="center"/>
              <w:rPr>
                <w:rFonts w:ascii="宋体" w:hAnsi="宋体"/>
                <w:sz w:val="24"/>
                <w:szCs w:val="24"/>
              </w:rPr>
            </w:pPr>
            <w:r>
              <w:rPr>
                <w:rFonts w:ascii="宋体" w:hAnsi="宋体"/>
                <w:sz w:val="24"/>
                <w:szCs w:val="24"/>
              </w:rPr>
              <w:t>评分标准</w:t>
            </w:r>
          </w:p>
        </w:tc>
        <w:tc>
          <w:tcPr>
            <w:tcW w:w="871" w:type="dxa"/>
            <w:vAlign w:val="center"/>
          </w:tcPr>
          <w:p>
            <w:pPr>
              <w:spacing w:line="240" w:lineRule="atLeast"/>
              <w:rPr>
                <w:rFonts w:ascii="宋体" w:hAnsi="宋体"/>
                <w:sz w:val="24"/>
                <w:szCs w:val="24"/>
              </w:rPr>
            </w:pPr>
            <w:r>
              <w:rPr>
                <w:rFonts w:ascii="宋体" w:hAnsi="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814" w:type="dxa"/>
            <w:vMerge w:val="restart"/>
            <w:vAlign w:val="center"/>
          </w:tcPr>
          <w:p>
            <w:pPr>
              <w:spacing w:line="240" w:lineRule="atLeast"/>
              <w:contextualSpacing/>
              <w:jc w:val="center"/>
              <w:rPr>
                <w:rFonts w:ascii="宋体" w:hAnsi="宋体"/>
                <w:sz w:val="24"/>
                <w:szCs w:val="24"/>
              </w:rPr>
            </w:pPr>
            <w:r>
              <w:rPr>
                <w:rFonts w:ascii="宋体" w:hAnsi="宋体"/>
                <w:sz w:val="24"/>
                <w:szCs w:val="24"/>
              </w:rPr>
              <w:t>实施方案</w:t>
            </w:r>
          </w:p>
          <w:p>
            <w:pPr>
              <w:spacing w:line="240" w:lineRule="atLeast"/>
              <w:contextualSpacing/>
              <w:jc w:val="center"/>
              <w:rPr>
                <w:rFonts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分）</w:t>
            </w:r>
          </w:p>
        </w:tc>
        <w:tc>
          <w:tcPr>
            <w:tcW w:w="6943" w:type="dxa"/>
            <w:vAlign w:val="center"/>
          </w:tcPr>
          <w:p>
            <w:pPr>
              <w:spacing w:line="240" w:lineRule="atLeast"/>
              <w:rPr>
                <w:rFonts w:ascii="宋体" w:hAnsi="宋体"/>
                <w:sz w:val="24"/>
                <w:szCs w:val="24"/>
              </w:rPr>
            </w:pPr>
            <w:r>
              <w:rPr>
                <w:rFonts w:hint="eastAsia" w:ascii="宋体" w:hAnsi="宋体"/>
                <w:sz w:val="24"/>
                <w:szCs w:val="24"/>
              </w:rPr>
              <w:t>职业病</w:t>
            </w:r>
            <w:r>
              <w:rPr>
                <w:rFonts w:ascii="宋体" w:hAnsi="宋体"/>
                <w:sz w:val="24"/>
                <w:szCs w:val="24"/>
              </w:rPr>
              <w:t xml:space="preserve">危害放射防护预评价服务方案。 </w:t>
            </w:r>
          </w:p>
        </w:tc>
        <w:tc>
          <w:tcPr>
            <w:tcW w:w="871" w:type="dxa"/>
            <w:vAlign w:val="center"/>
          </w:tcPr>
          <w:p>
            <w:pPr>
              <w:spacing w:line="240" w:lineRule="atLeast"/>
              <w:jc w:val="center"/>
              <w:rPr>
                <w:rFonts w:ascii="宋体" w:hAnsi="宋体"/>
                <w:sz w:val="24"/>
                <w:szCs w:val="24"/>
              </w:rPr>
            </w:pPr>
            <w:r>
              <w:rPr>
                <w:rFonts w:hint="eastAsia" w:ascii="宋体" w:hAnsi="宋体"/>
                <w:sz w:val="24"/>
                <w:szCs w:val="24"/>
              </w:rPr>
              <w:t>6</w:t>
            </w:r>
            <w:r>
              <w:rPr>
                <w:rFonts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14" w:type="dxa"/>
            <w:vMerge w:val="continue"/>
            <w:vAlign w:val="center"/>
          </w:tcPr>
          <w:p>
            <w:pPr>
              <w:spacing w:line="240" w:lineRule="atLeast"/>
              <w:contextualSpacing/>
              <w:jc w:val="center"/>
              <w:rPr>
                <w:rFonts w:ascii="宋体" w:hAnsi="宋体"/>
                <w:sz w:val="24"/>
                <w:szCs w:val="24"/>
              </w:rPr>
            </w:pPr>
          </w:p>
        </w:tc>
        <w:tc>
          <w:tcPr>
            <w:tcW w:w="6943" w:type="dxa"/>
            <w:vAlign w:val="center"/>
          </w:tcPr>
          <w:p>
            <w:pPr>
              <w:spacing w:line="240" w:lineRule="atLeast"/>
              <w:rPr>
                <w:rFonts w:ascii="宋体" w:hAnsi="宋体"/>
                <w:sz w:val="24"/>
                <w:szCs w:val="24"/>
              </w:rPr>
            </w:pPr>
            <w:r>
              <w:rPr>
                <w:rFonts w:hint="eastAsia" w:ascii="宋体" w:hAnsi="宋体"/>
                <w:sz w:val="24"/>
                <w:szCs w:val="24"/>
              </w:rPr>
              <w:t>职业病</w:t>
            </w:r>
            <w:r>
              <w:rPr>
                <w:rFonts w:ascii="宋体" w:hAnsi="宋体"/>
                <w:sz w:val="24"/>
                <w:szCs w:val="24"/>
              </w:rPr>
              <w:t>危害控制效果放射防护服务方案。</w:t>
            </w:r>
          </w:p>
        </w:tc>
        <w:tc>
          <w:tcPr>
            <w:tcW w:w="871" w:type="dxa"/>
            <w:vAlign w:val="center"/>
          </w:tcPr>
          <w:p>
            <w:pPr>
              <w:spacing w:line="240" w:lineRule="atLeast"/>
              <w:jc w:val="center"/>
              <w:rPr>
                <w:rFonts w:ascii="宋体" w:hAnsi="宋体"/>
                <w:sz w:val="24"/>
                <w:szCs w:val="24"/>
              </w:rPr>
            </w:pPr>
            <w:r>
              <w:rPr>
                <w:rFonts w:hint="eastAsia" w:ascii="宋体" w:hAnsi="宋体"/>
                <w:sz w:val="24"/>
                <w:szCs w:val="24"/>
              </w:rPr>
              <w:t>6</w:t>
            </w:r>
            <w:r>
              <w:rPr>
                <w:rFonts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14" w:type="dxa"/>
            <w:vMerge w:val="continue"/>
            <w:vAlign w:val="center"/>
          </w:tcPr>
          <w:p>
            <w:pPr>
              <w:spacing w:line="240" w:lineRule="atLeast"/>
              <w:contextualSpacing/>
              <w:jc w:val="center"/>
              <w:rPr>
                <w:rFonts w:ascii="宋体" w:hAnsi="宋体"/>
                <w:sz w:val="24"/>
                <w:szCs w:val="24"/>
              </w:rPr>
            </w:pPr>
          </w:p>
        </w:tc>
        <w:tc>
          <w:tcPr>
            <w:tcW w:w="6943" w:type="dxa"/>
            <w:vAlign w:val="center"/>
          </w:tcPr>
          <w:p>
            <w:pPr>
              <w:spacing w:line="240" w:lineRule="atLeast"/>
              <w:rPr>
                <w:rFonts w:ascii="宋体" w:hAnsi="宋体"/>
                <w:sz w:val="24"/>
                <w:szCs w:val="24"/>
              </w:rPr>
            </w:pPr>
            <w:r>
              <w:rPr>
                <w:rFonts w:hint="eastAsia"/>
                <w:sz w:val="24"/>
              </w:rPr>
              <w:t>建设项目竣工环境保护验收</w:t>
            </w:r>
            <w:r>
              <w:rPr>
                <w:rFonts w:ascii="宋体" w:hAnsi="宋体"/>
                <w:sz w:val="24"/>
                <w:szCs w:val="24"/>
              </w:rPr>
              <w:t>服务方案。</w:t>
            </w:r>
          </w:p>
        </w:tc>
        <w:tc>
          <w:tcPr>
            <w:tcW w:w="871" w:type="dxa"/>
            <w:vAlign w:val="center"/>
          </w:tcPr>
          <w:p>
            <w:pPr>
              <w:spacing w:line="240" w:lineRule="atLeast"/>
              <w:jc w:val="center"/>
              <w:rPr>
                <w:rFonts w:ascii="宋体" w:hAnsi="宋体"/>
                <w:sz w:val="24"/>
                <w:szCs w:val="24"/>
              </w:rPr>
            </w:pPr>
            <w:r>
              <w:rPr>
                <w:rFonts w:hint="eastAsia" w:ascii="宋体" w:hAnsi="宋体"/>
                <w:sz w:val="24"/>
                <w:szCs w:val="24"/>
              </w:rPr>
              <w:t>6</w:t>
            </w:r>
            <w:r>
              <w:rPr>
                <w:rFonts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814" w:type="dxa"/>
            <w:vMerge w:val="restart"/>
            <w:vAlign w:val="center"/>
          </w:tcPr>
          <w:p>
            <w:pPr>
              <w:pStyle w:val="14"/>
              <w:spacing w:beforeAutospacing="0" w:afterAutospacing="0" w:line="240" w:lineRule="atLeast"/>
              <w:jc w:val="center"/>
              <w:rPr>
                <w:rFonts w:ascii="宋体" w:hAnsi="宋体" w:eastAsia="宋体"/>
                <w:color w:val="auto"/>
                <w:kern w:val="2"/>
                <w:sz w:val="24"/>
                <w:szCs w:val="24"/>
              </w:rPr>
            </w:pPr>
            <w:r>
              <w:rPr>
                <w:rFonts w:ascii="宋体" w:hAnsi="宋体" w:eastAsia="宋体"/>
                <w:color w:val="auto"/>
                <w:kern w:val="2"/>
                <w:sz w:val="24"/>
                <w:szCs w:val="24"/>
              </w:rPr>
              <w:t>企业的专业设施设备配置</w:t>
            </w:r>
          </w:p>
          <w:p>
            <w:pPr>
              <w:spacing w:line="240" w:lineRule="atLeast"/>
              <w:ind w:left="-69" w:leftChars="-33" w:firstLine="2"/>
              <w:contextualSpacing/>
              <w:jc w:val="center"/>
              <w:rPr>
                <w:rFonts w:ascii="宋体" w:hAnsi="宋体"/>
                <w:sz w:val="24"/>
                <w:szCs w:val="24"/>
              </w:rPr>
            </w:pPr>
            <w:r>
              <w:rPr>
                <w:rFonts w:ascii="宋体" w:hAnsi="宋体"/>
                <w:sz w:val="24"/>
                <w:szCs w:val="24"/>
              </w:rPr>
              <w:t>（10分）</w:t>
            </w:r>
          </w:p>
        </w:tc>
        <w:tc>
          <w:tcPr>
            <w:tcW w:w="6943" w:type="dxa"/>
            <w:vAlign w:val="center"/>
          </w:tcPr>
          <w:p>
            <w:pPr>
              <w:spacing w:line="240" w:lineRule="atLeast"/>
              <w:ind w:left="-69" w:leftChars="-33" w:firstLine="2"/>
              <w:contextualSpacing/>
              <w:rPr>
                <w:rFonts w:ascii="宋体" w:hAnsi="宋体"/>
                <w:sz w:val="24"/>
                <w:szCs w:val="24"/>
              </w:rPr>
            </w:pPr>
            <w:r>
              <w:rPr>
                <w:rFonts w:ascii="宋体" w:hAnsi="宋体"/>
                <w:sz w:val="24"/>
                <w:szCs w:val="24"/>
              </w:rPr>
              <w:t>根据投入放射设备评价的专业设施设备的技术和性能进行评价。</w:t>
            </w:r>
          </w:p>
        </w:tc>
        <w:tc>
          <w:tcPr>
            <w:tcW w:w="871" w:type="dxa"/>
            <w:vAlign w:val="center"/>
          </w:tcPr>
          <w:p>
            <w:pPr>
              <w:spacing w:line="240" w:lineRule="atLeast"/>
              <w:ind w:left="-69" w:leftChars="-33" w:firstLine="2"/>
              <w:jc w:val="center"/>
              <w:rPr>
                <w:rFonts w:ascii="宋体" w:hAnsi="宋体"/>
                <w:sz w:val="24"/>
                <w:szCs w:val="24"/>
              </w:rPr>
            </w:pPr>
            <w:r>
              <w:rPr>
                <w:rFonts w:ascii="宋体" w:hAnsi="宋体"/>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814" w:type="dxa"/>
            <w:vMerge w:val="continue"/>
            <w:vAlign w:val="center"/>
          </w:tcPr>
          <w:p>
            <w:pPr>
              <w:pStyle w:val="14"/>
              <w:spacing w:beforeAutospacing="0" w:afterAutospacing="0" w:line="240" w:lineRule="atLeast"/>
              <w:jc w:val="center"/>
              <w:rPr>
                <w:rFonts w:ascii="宋体" w:hAnsi="宋体" w:eastAsia="宋体"/>
                <w:color w:val="auto"/>
                <w:kern w:val="2"/>
                <w:sz w:val="24"/>
                <w:szCs w:val="24"/>
              </w:rPr>
            </w:pPr>
          </w:p>
        </w:tc>
        <w:tc>
          <w:tcPr>
            <w:tcW w:w="6943" w:type="dxa"/>
            <w:vAlign w:val="center"/>
          </w:tcPr>
          <w:p>
            <w:pPr>
              <w:spacing w:line="240" w:lineRule="atLeast"/>
              <w:ind w:left="-69" w:leftChars="-33" w:firstLine="2"/>
              <w:contextualSpacing/>
              <w:rPr>
                <w:rFonts w:ascii="宋体" w:hAnsi="宋体"/>
                <w:sz w:val="24"/>
                <w:szCs w:val="24"/>
              </w:rPr>
            </w:pPr>
            <w:r>
              <w:rPr>
                <w:rFonts w:ascii="宋体" w:hAnsi="宋体"/>
                <w:sz w:val="24"/>
                <w:szCs w:val="24"/>
              </w:rPr>
              <w:t>检测能力：提供</w:t>
            </w:r>
            <w:r>
              <w:rPr>
                <w:rFonts w:hint="eastAsia" w:ascii="宋体" w:hAnsi="宋体"/>
                <w:sz w:val="24"/>
                <w:szCs w:val="24"/>
              </w:rPr>
              <w:t>2020年至今的</w:t>
            </w:r>
            <w:r>
              <w:rPr>
                <w:rFonts w:ascii="宋体" w:hAnsi="宋体"/>
                <w:sz w:val="24"/>
                <w:szCs w:val="24"/>
              </w:rPr>
              <w:t>全国放射卫生技术机构检测能力考核结果：每 1项考核优秀的得2分，每1项考核合格得1分，本项累计得分不超过4分。</w:t>
            </w:r>
          </w:p>
        </w:tc>
        <w:tc>
          <w:tcPr>
            <w:tcW w:w="871" w:type="dxa"/>
            <w:vAlign w:val="center"/>
          </w:tcPr>
          <w:p>
            <w:pPr>
              <w:spacing w:line="240" w:lineRule="atLeast"/>
              <w:ind w:left="-69" w:leftChars="-33" w:firstLine="2"/>
              <w:jc w:val="center"/>
              <w:rPr>
                <w:rFonts w:ascii="宋体" w:hAnsi="宋体"/>
                <w:sz w:val="24"/>
                <w:szCs w:val="24"/>
              </w:rPr>
            </w:pPr>
            <w:r>
              <w:rPr>
                <w:rFonts w:ascii="宋体" w:hAnsi="宋体"/>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814" w:type="dxa"/>
            <w:vMerge w:val="restart"/>
            <w:vAlign w:val="center"/>
          </w:tcPr>
          <w:p>
            <w:pPr>
              <w:spacing w:line="240" w:lineRule="atLeast"/>
              <w:ind w:left="-69" w:leftChars="-33" w:firstLine="2"/>
              <w:contextualSpacing/>
              <w:jc w:val="center"/>
              <w:rPr>
                <w:rFonts w:ascii="宋体" w:hAnsi="宋体"/>
                <w:sz w:val="24"/>
                <w:szCs w:val="24"/>
              </w:rPr>
            </w:pPr>
            <w:r>
              <w:rPr>
                <w:rFonts w:ascii="宋体" w:hAnsi="宋体"/>
                <w:sz w:val="24"/>
                <w:szCs w:val="24"/>
              </w:rPr>
              <w:t>技术能力及技术力量</w:t>
            </w:r>
          </w:p>
          <w:p>
            <w:pPr>
              <w:spacing w:line="240" w:lineRule="atLeast"/>
              <w:ind w:left="-69" w:leftChars="-33" w:firstLine="2"/>
              <w:contextualSpacing/>
              <w:jc w:val="center"/>
              <w:rPr>
                <w:rFonts w:ascii="宋体" w:hAnsi="宋体"/>
                <w:sz w:val="24"/>
                <w:szCs w:val="24"/>
              </w:rPr>
            </w:pPr>
            <w:r>
              <w:rPr>
                <w:rFonts w:ascii="宋体" w:hAnsi="宋体"/>
                <w:sz w:val="24"/>
                <w:szCs w:val="24"/>
              </w:rPr>
              <w:t>（</w:t>
            </w:r>
            <w:r>
              <w:rPr>
                <w:rFonts w:hint="eastAsia" w:ascii="宋体" w:hAnsi="宋体"/>
                <w:sz w:val="24"/>
                <w:szCs w:val="24"/>
              </w:rPr>
              <w:t>21</w:t>
            </w:r>
            <w:r>
              <w:rPr>
                <w:rFonts w:ascii="宋体" w:hAnsi="宋体"/>
                <w:sz w:val="24"/>
                <w:szCs w:val="24"/>
              </w:rPr>
              <w:t>分）</w:t>
            </w:r>
          </w:p>
        </w:tc>
        <w:tc>
          <w:tcPr>
            <w:tcW w:w="6943" w:type="dxa"/>
            <w:vAlign w:val="center"/>
          </w:tcPr>
          <w:p>
            <w:pPr>
              <w:spacing w:line="240" w:lineRule="atLeast"/>
              <w:rPr>
                <w:rFonts w:ascii="宋体" w:hAnsi="宋体"/>
                <w:sz w:val="24"/>
                <w:szCs w:val="24"/>
              </w:rPr>
            </w:pPr>
            <w:r>
              <w:rPr>
                <w:rFonts w:ascii="宋体" w:hAnsi="宋体"/>
                <w:sz w:val="24"/>
                <w:szCs w:val="24"/>
              </w:rPr>
              <w:t>拟</w:t>
            </w:r>
            <w:r>
              <w:rPr>
                <w:rFonts w:hint="eastAsia" w:ascii="宋体" w:hAnsi="宋体"/>
                <w:sz w:val="24"/>
                <w:szCs w:val="24"/>
              </w:rPr>
              <w:t>派</w:t>
            </w:r>
            <w:r>
              <w:rPr>
                <w:rFonts w:ascii="宋体" w:hAnsi="宋体"/>
                <w:sz w:val="24"/>
                <w:szCs w:val="24"/>
              </w:rPr>
              <w:t>本项目人员具有中级及以上技术职称（核技术相关专业）</w:t>
            </w:r>
          </w:p>
          <w:p>
            <w:pPr>
              <w:spacing w:line="240" w:lineRule="atLeast"/>
              <w:rPr>
                <w:rFonts w:ascii="宋体" w:hAnsi="宋体"/>
                <w:sz w:val="24"/>
                <w:szCs w:val="24"/>
              </w:rPr>
            </w:pPr>
            <w:r>
              <w:rPr>
                <w:rFonts w:ascii="宋体" w:hAnsi="宋体"/>
                <w:sz w:val="24"/>
                <w:szCs w:val="24"/>
              </w:rPr>
              <w:t>具有6人及以上人员的，得</w:t>
            </w:r>
            <w:r>
              <w:rPr>
                <w:rFonts w:hint="eastAsia" w:ascii="宋体" w:hAnsi="宋体"/>
                <w:sz w:val="24"/>
                <w:szCs w:val="24"/>
              </w:rPr>
              <w:t>9</w:t>
            </w:r>
            <w:r>
              <w:rPr>
                <w:rFonts w:ascii="宋体" w:hAnsi="宋体"/>
                <w:sz w:val="24"/>
                <w:szCs w:val="24"/>
              </w:rPr>
              <w:t>分；</w:t>
            </w:r>
          </w:p>
          <w:p>
            <w:pPr>
              <w:spacing w:line="240" w:lineRule="atLeast"/>
              <w:rPr>
                <w:rFonts w:ascii="宋体" w:hAnsi="宋体"/>
                <w:sz w:val="24"/>
                <w:szCs w:val="24"/>
              </w:rPr>
            </w:pPr>
            <w:r>
              <w:rPr>
                <w:rFonts w:ascii="宋体" w:hAnsi="宋体"/>
                <w:sz w:val="24"/>
                <w:szCs w:val="24"/>
              </w:rPr>
              <w:t>具有4人及以上人不足6人，得</w:t>
            </w:r>
            <w:r>
              <w:rPr>
                <w:rFonts w:hint="eastAsia" w:ascii="宋体" w:hAnsi="宋体"/>
                <w:sz w:val="24"/>
                <w:szCs w:val="24"/>
              </w:rPr>
              <w:t>5</w:t>
            </w:r>
            <w:r>
              <w:rPr>
                <w:rFonts w:ascii="宋体" w:hAnsi="宋体"/>
                <w:sz w:val="24"/>
                <w:szCs w:val="24"/>
              </w:rPr>
              <w:t>分；</w:t>
            </w:r>
          </w:p>
          <w:p>
            <w:pPr>
              <w:spacing w:line="240" w:lineRule="atLeast"/>
              <w:rPr>
                <w:rFonts w:ascii="宋体" w:hAnsi="宋体"/>
                <w:sz w:val="24"/>
                <w:szCs w:val="24"/>
              </w:rPr>
            </w:pPr>
            <w:r>
              <w:rPr>
                <w:rFonts w:ascii="宋体" w:hAnsi="宋体"/>
                <w:sz w:val="24"/>
                <w:szCs w:val="24"/>
              </w:rPr>
              <w:t>具有3人及以下的，得1分；</w:t>
            </w:r>
          </w:p>
          <w:p>
            <w:pPr>
              <w:spacing w:line="240" w:lineRule="atLeast"/>
              <w:rPr>
                <w:rFonts w:ascii="宋体" w:hAnsi="宋体"/>
                <w:sz w:val="24"/>
                <w:szCs w:val="24"/>
              </w:rPr>
            </w:pPr>
            <w:r>
              <w:rPr>
                <w:rFonts w:ascii="宋体" w:hAnsi="宋体"/>
                <w:sz w:val="24"/>
                <w:szCs w:val="24"/>
              </w:rPr>
              <w:t>其他情况均不得分。</w:t>
            </w:r>
          </w:p>
        </w:tc>
        <w:tc>
          <w:tcPr>
            <w:tcW w:w="871" w:type="dxa"/>
            <w:vAlign w:val="center"/>
          </w:tcPr>
          <w:p>
            <w:pPr>
              <w:spacing w:line="240" w:lineRule="atLeast"/>
              <w:ind w:left="-69" w:leftChars="-33" w:firstLine="2"/>
              <w:jc w:val="center"/>
              <w:rPr>
                <w:rFonts w:ascii="宋体" w:hAnsi="宋体"/>
                <w:sz w:val="24"/>
                <w:szCs w:val="24"/>
              </w:rPr>
            </w:pPr>
            <w:r>
              <w:rPr>
                <w:rFonts w:hint="eastAsia" w:ascii="宋体" w:hAnsi="宋体"/>
                <w:sz w:val="24"/>
                <w:szCs w:val="24"/>
              </w:rPr>
              <w:t>9</w:t>
            </w:r>
            <w:r>
              <w:rPr>
                <w:rFonts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814" w:type="dxa"/>
            <w:vMerge w:val="continue"/>
            <w:vAlign w:val="center"/>
          </w:tcPr>
          <w:p>
            <w:pPr>
              <w:spacing w:line="240" w:lineRule="atLeast"/>
              <w:ind w:left="-69" w:leftChars="-33" w:firstLine="2"/>
              <w:contextualSpacing/>
              <w:jc w:val="center"/>
              <w:rPr>
                <w:rFonts w:ascii="宋体" w:hAnsi="宋体"/>
                <w:sz w:val="24"/>
                <w:szCs w:val="24"/>
              </w:rPr>
            </w:pPr>
          </w:p>
        </w:tc>
        <w:tc>
          <w:tcPr>
            <w:tcW w:w="6943" w:type="dxa"/>
            <w:vAlign w:val="center"/>
          </w:tcPr>
          <w:p>
            <w:pPr>
              <w:spacing w:line="240" w:lineRule="atLeast"/>
              <w:ind w:left="-69" w:leftChars="-33"/>
              <w:contextualSpacing/>
              <w:rPr>
                <w:rFonts w:ascii="宋体" w:hAnsi="宋体"/>
                <w:sz w:val="24"/>
                <w:szCs w:val="24"/>
              </w:rPr>
            </w:pPr>
            <w:r>
              <w:rPr>
                <w:rFonts w:hint="eastAsia" w:ascii="宋体" w:hAnsi="宋体"/>
                <w:sz w:val="24"/>
                <w:szCs w:val="24"/>
              </w:rPr>
              <w:t>拟派项目人员具有注册核安全工程师执业资格证（提供证书印件，每提供一本证书得3分，最高得6分）</w:t>
            </w:r>
            <w:r>
              <w:rPr>
                <w:rFonts w:hint="eastAsia" w:ascii="宋体" w:hAnsi="宋体"/>
                <w:sz w:val="24"/>
                <w:szCs w:val="24"/>
              </w:rPr>
              <w:tab/>
            </w:r>
            <w:r>
              <w:rPr>
                <w:rFonts w:hint="eastAsia" w:ascii="宋体" w:hAnsi="宋体"/>
                <w:sz w:val="24"/>
                <w:szCs w:val="24"/>
              </w:rPr>
              <w:t>6分</w:t>
            </w:r>
          </w:p>
        </w:tc>
        <w:tc>
          <w:tcPr>
            <w:tcW w:w="871" w:type="dxa"/>
            <w:vAlign w:val="center"/>
          </w:tcPr>
          <w:p>
            <w:pPr>
              <w:spacing w:line="240" w:lineRule="atLeast"/>
              <w:ind w:left="-69" w:leftChars="-33" w:firstLine="2"/>
              <w:jc w:val="center"/>
              <w:rPr>
                <w:rFonts w:ascii="宋体" w:hAnsi="宋体"/>
                <w:sz w:val="24"/>
                <w:szCs w:val="24"/>
              </w:rPr>
            </w:pPr>
            <w:r>
              <w:rPr>
                <w:rFonts w:hint="eastAsia" w:ascii="宋体" w:hAnsi="宋体"/>
                <w:sz w:val="24"/>
                <w:szCs w:val="24"/>
              </w:rPr>
              <w:t>6</w:t>
            </w:r>
            <w:r>
              <w:rPr>
                <w:rFonts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814" w:type="dxa"/>
            <w:vMerge w:val="continue"/>
            <w:vAlign w:val="center"/>
          </w:tcPr>
          <w:p>
            <w:pPr>
              <w:spacing w:line="240" w:lineRule="atLeast"/>
              <w:ind w:left="-69" w:leftChars="-33" w:firstLine="2"/>
              <w:contextualSpacing/>
              <w:jc w:val="center"/>
              <w:rPr>
                <w:rFonts w:ascii="宋体" w:hAnsi="宋体"/>
                <w:sz w:val="24"/>
                <w:szCs w:val="24"/>
              </w:rPr>
            </w:pPr>
          </w:p>
        </w:tc>
        <w:tc>
          <w:tcPr>
            <w:tcW w:w="6943" w:type="dxa"/>
            <w:vAlign w:val="center"/>
          </w:tcPr>
          <w:p>
            <w:pPr>
              <w:adjustRightInd w:val="0"/>
              <w:snapToGrid w:val="0"/>
              <w:spacing w:line="240" w:lineRule="atLeast"/>
              <w:rPr>
                <w:rFonts w:ascii="宋体" w:hAnsi="宋体"/>
                <w:sz w:val="24"/>
                <w:szCs w:val="24"/>
              </w:rPr>
            </w:pPr>
            <w:r>
              <w:rPr>
                <w:rFonts w:hint="eastAsia" w:ascii="宋体" w:hAnsi="宋体"/>
                <w:sz w:val="24"/>
                <w:szCs w:val="24"/>
              </w:rPr>
              <w:t>检测仪器设备情况：具备直线加速器三维水箱的，得6分；具备直线加速器二维水箱的，得3分；无水箱得，不得分。</w:t>
            </w:r>
          </w:p>
        </w:tc>
        <w:tc>
          <w:tcPr>
            <w:tcW w:w="871" w:type="dxa"/>
            <w:vAlign w:val="center"/>
          </w:tcPr>
          <w:p>
            <w:pPr>
              <w:spacing w:line="240" w:lineRule="atLeast"/>
              <w:ind w:left="-69" w:leftChars="-33" w:firstLine="2"/>
              <w:jc w:val="center"/>
              <w:rPr>
                <w:rFonts w:ascii="宋体" w:hAnsi="宋体"/>
                <w:sz w:val="24"/>
                <w:szCs w:val="24"/>
              </w:rPr>
            </w:pPr>
            <w:r>
              <w:rPr>
                <w:rFonts w:hint="eastAsia" w:ascii="宋体" w:hAnsi="宋体"/>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14" w:type="dxa"/>
            <w:vAlign w:val="center"/>
          </w:tcPr>
          <w:p>
            <w:pPr>
              <w:pStyle w:val="14"/>
              <w:spacing w:beforeAutospacing="0" w:afterAutospacing="0" w:line="240" w:lineRule="atLeast"/>
              <w:jc w:val="center"/>
              <w:rPr>
                <w:rFonts w:ascii="宋体" w:hAnsi="宋体" w:eastAsia="宋体"/>
                <w:color w:val="auto"/>
                <w:kern w:val="2"/>
                <w:sz w:val="24"/>
                <w:szCs w:val="24"/>
              </w:rPr>
            </w:pPr>
            <w:r>
              <w:rPr>
                <w:rFonts w:ascii="宋体" w:hAnsi="宋体" w:eastAsia="宋体"/>
                <w:color w:val="auto"/>
                <w:kern w:val="2"/>
                <w:sz w:val="24"/>
                <w:szCs w:val="24"/>
              </w:rPr>
              <w:t>类似项目业绩</w:t>
            </w:r>
          </w:p>
          <w:p>
            <w:pPr>
              <w:pStyle w:val="14"/>
              <w:spacing w:beforeAutospacing="0" w:afterAutospacing="0" w:line="240" w:lineRule="atLeast"/>
              <w:jc w:val="center"/>
              <w:rPr>
                <w:rFonts w:ascii="宋体" w:hAnsi="宋体" w:eastAsia="宋体"/>
                <w:color w:val="auto"/>
                <w:kern w:val="2"/>
                <w:sz w:val="24"/>
                <w:szCs w:val="24"/>
              </w:rPr>
            </w:pPr>
            <w:r>
              <w:rPr>
                <w:rFonts w:ascii="宋体" w:hAnsi="宋体" w:eastAsia="宋体"/>
                <w:color w:val="auto"/>
                <w:kern w:val="2"/>
                <w:sz w:val="24"/>
                <w:szCs w:val="24"/>
              </w:rPr>
              <w:t>（</w:t>
            </w:r>
            <w:r>
              <w:rPr>
                <w:rFonts w:hint="eastAsia" w:ascii="宋体" w:hAnsi="宋体" w:eastAsia="宋体"/>
                <w:color w:val="auto"/>
                <w:kern w:val="2"/>
                <w:sz w:val="24"/>
                <w:szCs w:val="24"/>
              </w:rPr>
              <w:t>10</w:t>
            </w:r>
            <w:r>
              <w:rPr>
                <w:rFonts w:ascii="宋体" w:hAnsi="宋体" w:eastAsia="宋体"/>
                <w:color w:val="auto"/>
                <w:kern w:val="2"/>
                <w:sz w:val="24"/>
                <w:szCs w:val="24"/>
              </w:rPr>
              <w:t>分）</w:t>
            </w:r>
          </w:p>
        </w:tc>
        <w:tc>
          <w:tcPr>
            <w:tcW w:w="6943" w:type="dxa"/>
            <w:vAlign w:val="center"/>
          </w:tcPr>
          <w:p>
            <w:pPr>
              <w:spacing w:line="240" w:lineRule="atLeast"/>
              <w:ind w:right="-21" w:rightChars="-10"/>
              <w:jc w:val="left"/>
              <w:rPr>
                <w:rFonts w:ascii="宋体" w:hAnsi="宋体"/>
                <w:sz w:val="24"/>
                <w:szCs w:val="24"/>
              </w:rPr>
            </w:pPr>
            <w:r>
              <w:rPr>
                <w:rFonts w:ascii="宋体" w:hAnsi="宋体"/>
                <w:sz w:val="24"/>
                <w:szCs w:val="24"/>
              </w:rPr>
              <w:t>提供自</w:t>
            </w:r>
            <w:r>
              <w:rPr>
                <w:rFonts w:hint="eastAsia" w:ascii="宋体" w:hAnsi="宋体"/>
                <w:sz w:val="24"/>
                <w:szCs w:val="24"/>
              </w:rPr>
              <w:t>2</w:t>
            </w:r>
            <w:r>
              <w:rPr>
                <w:rFonts w:ascii="宋体" w:hAnsi="宋体"/>
                <w:sz w:val="24"/>
                <w:szCs w:val="24"/>
              </w:rPr>
              <w:t>0</w:t>
            </w:r>
            <w:r>
              <w:rPr>
                <w:rFonts w:hint="eastAsia" w:ascii="宋体" w:hAnsi="宋体"/>
                <w:sz w:val="24"/>
                <w:szCs w:val="24"/>
              </w:rPr>
              <w:t>18</w:t>
            </w:r>
            <w:r>
              <w:rPr>
                <w:rFonts w:ascii="宋体" w:hAnsi="宋体"/>
                <w:sz w:val="24"/>
                <w:szCs w:val="24"/>
              </w:rPr>
              <w:t>年</w:t>
            </w:r>
            <w:r>
              <w:rPr>
                <w:rFonts w:hint="eastAsia" w:ascii="宋体" w:hAnsi="宋体"/>
                <w:sz w:val="24"/>
                <w:szCs w:val="24"/>
              </w:rPr>
              <w:t>1月1日以来同类放射防护</w:t>
            </w:r>
            <w:r>
              <w:rPr>
                <w:rFonts w:ascii="宋体" w:hAnsi="宋体"/>
                <w:sz w:val="24"/>
                <w:szCs w:val="24"/>
              </w:rPr>
              <w:t>评价业绩</w:t>
            </w:r>
            <w:r>
              <w:rPr>
                <w:rFonts w:hint="eastAsia" w:ascii="宋体" w:hAnsi="宋体"/>
                <w:sz w:val="24"/>
                <w:szCs w:val="24"/>
              </w:rPr>
              <w:t>，</w:t>
            </w:r>
            <w:r>
              <w:rPr>
                <w:rFonts w:ascii="宋体" w:hAnsi="宋体"/>
                <w:sz w:val="24"/>
                <w:szCs w:val="24"/>
              </w:rPr>
              <w:t>内容须同时包含职业病危害放射防护评价及环境影响评价，每提供一个业绩得1分，需提供合同复印件，最高得</w:t>
            </w:r>
            <w:r>
              <w:rPr>
                <w:rFonts w:hint="eastAsia" w:ascii="宋体" w:hAnsi="宋体"/>
                <w:sz w:val="24"/>
                <w:szCs w:val="24"/>
              </w:rPr>
              <w:t>10</w:t>
            </w:r>
            <w:r>
              <w:rPr>
                <w:rFonts w:ascii="宋体" w:hAnsi="宋体"/>
                <w:sz w:val="24"/>
                <w:szCs w:val="24"/>
              </w:rPr>
              <w:t>分。</w:t>
            </w:r>
          </w:p>
        </w:tc>
        <w:tc>
          <w:tcPr>
            <w:tcW w:w="871" w:type="dxa"/>
            <w:vAlign w:val="center"/>
          </w:tcPr>
          <w:p>
            <w:pPr>
              <w:spacing w:line="240" w:lineRule="atLeast"/>
              <w:ind w:left="-69" w:leftChars="-33" w:firstLine="2"/>
              <w:jc w:val="center"/>
              <w:rPr>
                <w:rFonts w:ascii="宋体" w:hAnsi="宋体"/>
                <w:sz w:val="24"/>
                <w:szCs w:val="24"/>
              </w:rPr>
            </w:pPr>
            <w:r>
              <w:rPr>
                <w:rFonts w:hint="eastAsia" w:ascii="宋体" w:hAnsi="宋体"/>
                <w:sz w:val="24"/>
                <w:szCs w:val="24"/>
              </w:rPr>
              <w:t>10</w:t>
            </w:r>
            <w:r>
              <w:rPr>
                <w:rFonts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814" w:type="dxa"/>
            <w:vAlign w:val="center"/>
          </w:tcPr>
          <w:p>
            <w:pPr>
              <w:pStyle w:val="14"/>
              <w:spacing w:beforeAutospacing="0" w:afterAutospacing="0" w:line="240" w:lineRule="atLeast"/>
              <w:jc w:val="center"/>
              <w:rPr>
                <w:rFonts w:ascii="宋体" w:hAnsi="宋体" w:eastAsia="宋体"/>
                <w:color w:val="auto"/>
                <w:kern w:val="2"/>
                <w:sz w:val="24"/>
                <w:szCs w:val="24"/>
              </w:rPr>
            </w:pPr>
            <w:r>
              <w:rPr>
                <w:rFonts w:ascii="宋体" w:hAnsi="宋体" w:eastAsia="宋体"/>
                <w:color w:val="auto"/>
                <w:kern w:val="2"/>
                <w:sz w:val="24"/>
                <w:szCs w:val="24"/>
              </w:rPr>
              <w:t>公司证书</w:t>
            </w:r>
          </w:p>
          <w:p>
            <w:pPr>
              <w:pStyle w:val="14"/>
              <w:spacing w:beforeAutospacing="0" w:afterAutospacing="0" w:line="240" w:lineRule="atLeast"/>
              <w:jc w:val="center"/>
              <w:rPr>
                <w:rFonts w:ascii="宋体" w:hAnsi="宋体" w:eastAsia="宋体"/>
                <w:color w:val="auto"/>
                <w:kern w:val="2"/>
                <w:sz w:val="24"/>
                <w:szCs w:val="24"/>
              </w:rPr>
            </w:pPr>
            <w:r>
              <w:rPr>
                <w:rFonts w:ascii="宋体" w:hAnsi="宋体" w:eastAsia="宋体"/>
                <w:color w:val="auto"/>
                <w:kern w:val="2"/>
                <w:sz w:val="24"/>
                <w:szCs w:val="24"/>
              </w:rPr>
              <w:t>（</w:t>
            </w:r>
            <w:r>
              <w:rPr>
                <w:rFonts w:hint="eastAsia" w:ascii="宋体" w:hAnsi="宋体" w:eastAsia="宋体"/>
                <w:color w:val="auto"/>
                <w:kern w:val="2"/>
                <w:sz w:val="24"/>
                <w:szCs w:val="24"/>
              </w:rPr>
              <w:t>6</w:t>
            </w:r>
            <w:r>
              <w:rPr>
                <w:rFonts w:ascii="宋体" w:hAnsi="宋体" w:eastAsia="宋体"/>
                <w:color w:val="auto"/>
                <w:kern w:val="2"/>
                <w:sz w:val="24"/>
                <w:szCs w:val="24"/>
              </w:rPr>
              <w:t>分）</w:t>
            </w:r>
          </w:p>
        </w:tc>
        <w:tc>
          <w:tcPr>
            <w:tcW w:w="6943" w:type="dxa"/>
            <w:vAlign w:val="center"/>
          </w:tcPr>
          <w:p>
            <w:pPr>
              <w:rPr>
                <w:rFonts w:ascii="宋体" w:hAnsi="宋体"/>
                <w:sz w:val="24"/>
                <w:szCs w:val="24"/>
              </w:rPr>
            </w:pPr>
            <w:r>
              <w:rPr>
                <w:rFonts w:ascii="宋体" w:hAnsi="宋体"/>
                <w:sz w:val="24"/>
                <w:szCs w:val="24"/>
              </w:rPr>
              <w:t>投标人拥有有效的ISO9001、ISO14001、ISO28001管理体系认证证书</w:t>
            </w:r>
            <w:r>
              <w:rPr>
                <w:rFonts w:hint="eastAsia" w:ascii="宋体" w:hAnsi="宋体"/>
                <w:sz w:val="24"/>
                <w:szCs w:val="24"/>
              </w:rPr>
              <w:t>。</w:t>
            </w:r>
            <w:r>
              <w:rPr>
                <w:rFonts w:ascii="宋体" w:hAnsi="宋体"/>
                <w:sz w:val="24"/>
                <w:szCs w:val="24"/>
              </w:rPr>
              <w:t>每提供1个证书的</w:t>
            </w:r>
            <w:r>
              <w:rPr>
                <w:rFonts w:hint="eastAsia" w:ascii="宋体" w:hAnsi="宋体"/>
                <w:sz w:val="24"/>
                <w:szCs w:val="24"/>
              </w:rPr>
              <w:t>2</w:t>
            </w:r>
            <w:r>
              <w:rPr>
                <w:rFonts w:ascii="宋体" w:hAnsi="宋体"/>
                <w:sz w:val="24"/>
                <w:szCs w:val="24"/>
              </w:rPr>
              <w:t>分，共</w:t>
            </w:r>
            <w:r>
              <w:rPr>
                <w:rFonts w:hint="eastAsia" w:ascii="宋体" w:hAnsi="宋体"/>
                <w:sz w:val="24"/>
                <w:szCs w:val="24"/>
              </w:rPr>
              <w:t>6</w:t>
            </w:r>
            <w:r>
              <w:rPr>
                <w:rFonts w:ascii="宋体" w:hAnsi="宋体"/>
                <w:sz w:val="24"/>
                <w:szCs w:val="24"/>
              </w:rPr>
              <w:t>分。</w:t>
            </w:r>
          </w:p>
        </w:tc>
        <w:tc>
          <w:tcPr>
            <w:tcW w:w="871" w:type="dxa"/>
            <w:vAlign w:val="center"/>
          </w:tcPr>
          <w:p>
            <w:pPr>
              <w:spacing w:line="240" w:lineRule="atLeast"/>
              <w:ind w:left="-69" w:leftChars="-33" w:firstLine="2"/>
              <w:jc w:val="center"/>
              <w:rPr>
                <w:rFonts w:ascii="宋体" w:hAnsi="宋体"/>
                <w:sz w:val="24"/>
                <w:szCs w:val="24"/>
              </w:rPr>
            </w:pPr>
            <w:r>
              <w:rPr>
                <w:rFonts w:hint="eastAsia" w:ascii="宋体" w:hAnsi="宋体"/>
                <w:sz w:val="24"/>
                <w:szCs w:val="24"/>
              </w:rPr>
              <w:t>6</w:t>
            </w:r>
            <w:r>
              <w:rPr>
                <w:rFonts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14" w:type="dxa"/>
            <w:vAlign w:val="center"/>
          </w:tcPr>
          <w:p>
            <w:pPr>
              <w:spacing w:line="460" w:lineRule="exact"/>
              <w:jc w:val="center"/>
              <w:rPr>
                <w:rFonts w:ascii="宋体" w:hAnsi="宋体"/>
                <w:sz w:val="24"/>
                <w:szCs w:val="24"/>
              </w:rPr>
            </w:pPr>
            <w:r>
              <w:rPr>
                <w:rFonts w:ascii="宋体" w:hAnsi="宋体"/>
                <w:sz w:val="24"/>
                <w:szCs w:val="24"/>
              </w:rPr>
              <w:t>应急方案（</w:t>
            </w:r>
            <w:r>
              <w:rPr>
                <w:rFonts w:hint="eastAsia" w:ascii="宋体" w:hAnsi="宋体"/>
                <w:sz w:val="24"/>
                <w:szCs w:val="24"/>
              </w:rPr>
              <w:t>7</w:t>
            </w:r>
            <w:r>
              <w:rPr>
                <w:rFonts w:ascii="宋体" w:hAnsi="宋体"/>
                <w:sz w:val="24"/>
                <w:szCs w:val="24"/>
              </w:rPr>
              <w:t>分）</w:t>
            </w:r>
          </w:p>
        </w:tc>
        <w:tc>
          <w:tcPr>
            <w:tcW w:w="6943" w:type="dxa"/>
            <w:vAlign w:val="center"/>
          </w:tcPr>
          <w:p>
            <w:pPr>
              <w:spacing w:line="460" w:lineRule="exact"/>
              <w:rPr>
                <w:rFonts w:ascii="宋体" w:hAnsi="宋体"/>
                <w:sz w:val="24"/>
                <w:szCs w:val="24"/>
              </w:rPr>
            </w:pPr>
            <w:r>
              <w:rPr>
                <w:rFonts w:ascii="宋体" w:hAnsi="宋体"/>
                <w:sz w:val="24"/>
                <w:szCs w:val="24"/>
              </w:rPr>
              <w:t>针对实施过程中紧急或特殊情况的应急响应情况。</w:t>
            </w:r>
          </w:p>
        </w:tc>
        <w:tc>
          <w:tcPr>
            <w:tcW w:w="871" w:type="dxa"/>
            <w:vAlign w:val="center"/>
          </w:tcPr>
          <w:p>
            <w:pPr>
              <w:spacing w:line="240" w:lineRule="atLeast"/>
              <w:ind w:left="-69" w:leftChars="-33" w:firstLine="2"/>
              <w:jc w:val="center"/>
              <w:rPr>
                <w:rFonts w:ascii="宋体" w:hAnsi="宋体"/>
                <w:sz w:val="24"/>
                <w:szCs w:val="24"/>
              </w:rPr>
            </w:pPr>
            <w:r>
              <w:rPr>
                <w:rFonts w:hint="eastAsia" w:ascii="宋体" w:hAnsi="宋体"/>
                <w:sz w:val="24"/>
                <w:szCs w:val="24"/>
              </w:rPr>
              <w:t>7</w:t>
            </w:r>
            <w:r>
              <w:rPr>
                <w:rFonts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14" w:type="dxa"/>
            <w:vMerge w:val="restart"/>
            <w:vAlign w:val="center"/>
          </w:tcPr>
          <w:p>
            <w:pPr>
              <w:spacing w:line="460" w:lineRule="exact"/>
              <w:jc w:val="center"/>
              <w:rPr>
                <w:rFonts w:ascii="宋体" w:hAnsi="宋体"/>
                <w:sz w:val="24"/>
                <w:szCs w:val="24"/>
              </w:rPr>
            </w:pPr>
            <w:r>
              <w:rPr>
                <w:rFonts w:hint="eastAsia" w:ascii="宋体" w:hAnsi="宋体"/>
                <w:sz w:val="24"/>
                <w:szCs w:val="24"/>
              </w:rPr>
              <w:t>投标人整体实力（8分）</w:t>
            </w:r>
          </w:p>
        </w:tc>
        <w:tc>
          <w:tcPr>
            <w:tcW w:w="6943" w:type="dxa"/>
            <w:vAlign w:val="center"/>
          </w:tcPr>
          <w:p>
            <w:pPr>
              <w:pStyle w:val="14"/>
              <w:spacing w:beforeAutospacing="0" w:after="0" w:afterAutospacing="0" w:line="27" w:lineRule="atLeast"/>
              <w:rPr>
                <w:rFonts w:ascii="宋体" w:hAnsi="宋体" w:eastAsia="宋体" w:cs="Times New Roman"/>
                <w:kern w:val="2"/>
                <w:sz w:val="24"/>
                <w:szCs w:val="24"/>
              </w:rPr>
            </w:pPr>
            <w:r>
              <w:rPr>
                <w:rFonts w:hint="eastAsia" w:ascii="宋体" w:hAnsi="宋体" w:eastAsia="宋体" w:cs="Times New Roman"/>
                <w:kern w:val="2"/>
                <w:sz w:val="24"/>
                <w:szCs w:val="24"/>
              </w:rPr>
              <w:t>投标人具有的认证情况：1项得2分，本项最高得6分。</w:t>
            </w:r>
          </w:p>
          <w:p>
            <w:pPr>
              <w:pStyle w:val="14"/>
              <w:spacing w:beforeAutospacing="0" w:after="0" w:afterAutospacing="0" w:line="27" w:lineRule="atLeast"/>
              <w:rPr>
                <w:rFonts w:ascii="宋体" w:hAnsi="宋体" w:eastAsia="宋体" w:cs="Times New Roman"/>
                <w:kern w:val="2"/>
                <w:sz w:val="24"/>
                <w:szCs w:val="24"/>
              </w:rPr>
            </w:pPr>
            <w:r>
              <w:rPr>
                <w:rFonts w:hint="eastAsia" w:ascii="宋体" w:hAnsi="宋体" w:eastAsia="宋体" w:cs="Times New Roman"/>
                <w:kern w:val="2"/>
                <w:sz w:val="24"/>
                <w:szCs w:val="24"/>
              </w:rPr>
              <w:t>省级及以上高新技术企业证书；</w:t>
            </w:r>
          </w:p>
          <w:p>
            <w:pPr>
              <w:pStyle w:val="14"/>
              <w:spacing w:beforeAutospacing="0" w:after="0" w:afterAutospacing="0" w:line="27" w:lineRule="atLeast"/>
              <w:rPr>
                <w:rFonts w:ascii="宋体" w:hAnsi="宋体"/>
                <w:sz w:val="24"/>
                <w:szCs w:val="24"/>
              </w:rPr>
            </w:pPr>
            <w:r>
              <w:rPr>
                <w:rFonts w:hint="eastAsia" w:ascii="宋体" w:hAnsi="宋体" w:eastAsia="宋体" w:cs="Times New Roman"/>
                <w:kern w:val="2"/>
                <w:sz w:val="24"/>
                <w:szCs w:val="24"/>
              </w:rPr>
              <w:t>其他省部级及以上荣誉证书。</w:t>
            </w:r>
          </w:p>
        </w:tc>
        <w:tc>
          <w:tcPr>
            <w:tcW w:w="871" w:type="dxa"/>
            <w:vAlign w:val="center"/>
          </w:tcPr>
          <w:p>
            <w:pPr>
              <w:spacing w:line="240" w:lineRule="atLeast"/>
              <w:ind w:left="-69" w:leftChars="-33" w:firstLine="2"/>
              <w:jc w:val="center"/>
              <w:rPr>
                <w:rFonts w:ascii="宋体" w:hAnsi="宋体"/>
                <w:sz w:val="24"/>
                <w:szCs w:val="24"/>
              </w:rPr>
            </w:pPr>
            <w:r>
              <w:rPr>
                <w:rFonts w:hint="eastAsia" w:ascii="宋体" w:hAnsi="宋体"/>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14" w:type="dxa"/>
            <w:vMerge w:val="continue"/>
            <w:vAlign w:val="center"/>
          </w:tcPr>
          <w:p>
            <w:pPr>
              <w:spacing w:line="460" w:lineRule="exact"/>
              <w:jc w:val="center"/>
              <w:rPr>
                <w:rFonts w:ascii="宋体" w:hAnsi="宋体"/>
                <w:sz w:val="24"/>
                <w:szCs w:val="24"/>
              </w:rPr>
            </w:pPr>
          </w:p>
        </w:tc>
        <w:tc>
          <w:tcPr>
            <w:tcW w:w="6943" w:type="dxa"/>
            <w:vAlign w:val="center"/>
          </w:tcPr>
          <w:p>
            <w:pPr>
              <w:rPr>
                <w:rFonts w:ascii="宋体" w:hAnsi="宋体"/>
                <w:sz w:val="24"/>
                <w:szCs w:val="24"/>
              </w:rPr>
            </w:pPr>
            <w:r>
              <w:rPr>
                <w:rFonts w:hint="eastAsia" w:ascii="宋体" w:hAnsi="宋体"/>
                <w:sz w:val="24"/>
                <w:szCs w:val="24"/>
              </w:rPr>
              <w:t>投标人同时获得CMA资质认证及CNAS实验室认可证书的得2分，具有其中一项得1分，没有相关认证不得分</w:t>
            </w:r>
          </w:p>
        </w:tc>
        <w:tc>
          <w:tcPr>
            <w:tcW w:w="871" w:type="dxa"/>
            <w:vAlign w:val="center"/>
          </w:tcPr>
          <w:p>
            <w:pPr>
              <w:spacing w:line="240" w:lineRule="atLeast"/>
              <w:ind w:left="-69" w:leftChars="-33" w:firstLine="2"/>
              <w:jc w:val="center"/>
              <w:rPr>
                <w:rFonts w:ascii="宋体" w:hAnsi="宋体"/>
                <w:sz w:val="24"/>
                <w:szCs w:val="24"/>
              </w:rPr>
            </w:pPr>
            <w:r>
              <w:rPr>
                <w:rFonts w:hint="eastAsia" w:ascii="宋体" w:hAnsi="宋体"/>
                <w:sz w:val="24"/>
                <w:szCs w:val="24"/>
              </w:rPr>
              <w:t>2分</w:t>
            </w: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b/>
          <w:sz w:val="24"/>
          <w:szCs w:val="24"/>
        </w:rPr>
      </w:pPr>
      <w:r>
        <w:rPr>
          <w:rFonts w:hint="eastAsia" w:ascii="宋体" w:hAnsi="宋体"/>
          <w:b/>
          <w:sz w:val="24"/>
          <w:szCs w:val="24"/>
        </w:rPr>
        <w:t>2、商务评审（总分20分）</w:t>
      </w:r>
    </w:p>
    <w:p>
      <w:pPr>
        <w:adjustRightInd w:val="0"/>
        <w:snapToGrid w:val="0"/>
        <w:spacing w:line="360" w:lineRule="auto"/>
        <w:ind w:firstLine="480" w:firstLineChars="200"/>
        <w:rPr>
          <w:rFonts w:ascii="宋体" w:hAnsi="宋体"/>
          <w:sz w:val="24"/>
          <w:szCs w:val="24"/>
        </w:rPr>
      </w:pPr>
      <w:r>
        <w:rPr>
          <w:rFonts w:ascii="宋体" w:hAnsi="宋体"/>
          <w:sz w:val="24"/>
          <w:szCs w:val="24"/>
        </w:rPr>
        <w:t>评标基准价以满足招标文件要求且投标价格</w:t>
      </w:r>
      <w:r>
        <w:rPr>
          <w:rFonts w:hint="eastAsia" w:ascii="宋体" w:hAnsi="宋体"/>
          <w:sz w:val="24"/>
          <w:szCs w:val="24"/>
        </w:rPr>
        <w:t>平均分</w:t>
      </w:r>
      <w:r>
        <w:rPr>
          <w:rFonts w:ascii="宋体" w:hAnsi="宋体"/>
          <w:sz w:val="24"/>
          <w:szCs w:val="24"/>
        </w:rPr>
        <w:t>的投标报价为评标基准价，其商务报价分为</w:t>
      </w:r>
      <w:r>
        <w:rPr>
          <w:rFonts w:hint="eastAsia" w:ascii="宋体" w:hAnsi="宋体"/>
          <w:sz w:val="24"/>
          <w:szCs w:val="24"/>
        </w:rPr>
        <w:t>20</w:t>
      </w:r>
      <w:r>
        <w:rPr>
          <w:rFonts w:ascii="宋体" w:hAnsi="宋体"/>
          <w:sz w:val="24"/>
          <w:szCs w:val="24"/>
        </w:rPr>
        <w:t>分</w:t>
      </w:r>
      <w:r>
        <w:rPr>
          <w:rFonts w:hint="eastAsia" w:ascii="宋体" w:hAnsi="宋体"/>
          <w:sz w:val="24"/>
          <w:szCs w:val="24"/>
        </w:rPr>
        <w:t>。</w:t>
      </w:r>
    </w:p>
    <w:p>
      <w:pPr>
        <w:adjustRightInd w:val="0"/>
        <w:snapToGrid w:val="0"/>
        <w:spacing w:line="360" w:lineRule="auto"/>
        <w:ind w:firstLine="482" w:firstLineChars="200"/>
        <w:jc w:val="center"/>
        <w:rPr>
          <w:rFonts w:ascii="宋体" w:hAnsi="宋体"/>
          <w:b/>
          <w:sz w:val="24"/>
          <w:szCs w:val="24"/>
        </w:rPr>
      </w:pPr>
      <w:r>
        <w:rPr>
          <w:rFonts w:ascii="宋体" w:hAnsi="宋体"/>
          <w:b/>
          <w:sz w:val="24"/>
          <w:szCs w:val="24"/>
        </w:rPr>
        <w:t>商务得分=（</w:t>
      </w:r>
      <w:r>
        <w:rPr>
          <w:rFonts w:hint="eastAsia" w:ascii="宋体" w:hAnsi="宋体"/>
          <w:b/>
          <w:sz w:val="24"/>
          <w:szCs w:val="24"/>
        </w:rPr>
        <w:t>各家单位报价算术平均数</w:t>
      </w:r>
      <w:r>
        <w:rPr>
          <w:rFonts w:ascii="宋体" w:hAnsi="宋体"/>
          <w:b/>
          <w:sz w:val="24"/>
          <w:szCs w:val="24"/>
        </w:rPr>
        <w:t>）×</w:t>
      </w:r>
      <w:r>
        <w:rPr>
          <w:rFonts w:hint="eastAsia" w:ascii="宋体" w:hAnsi="宋体"/>
          <w:b/>
          <w:sz w:val="24"/>
          <w:szCs w:val="24"/>
        </w:rPr>
        <w:t>20</w:t>
      </w:r>
      <w:r>
        <w:rPr>
          <w:rFonts w:ascii="宋体" w:hAnsi="宋体"/>
          <w:b/>
          <w:sz w:val="24"/>
          <w:szCs w:val="24"/>
        </w:rPr>
        <w:t>%×100，保留小数2位</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pPr>
        <w:adjustRightInd w:val="0"/>
        <w:snapToGrid w:val="0"/>
        <w:spacing w:line="360" w:lineRule="auto"/>
        <w:rPr>
          <w:rFonts w:ascii="宋体" w:hAnsi="宋体"/>
          <w:sz w:val="24"/>
          <w:szCs w:val="24"/>
        </w:rPr>
      </w:pPr>
      <w:r>
        <w:rPr>
          <w:rFonts w:hint="eastAsia" w:ascii="宋体" w:hAnsi="宋体"/>
          <w:sz w:val="24"/>
          <w:szCs w:val="24"/>
        </w:rPr>
        <w:t>3、投标人的综合得分为以上两部分评分的总和。</w:t>
      </w:r>
    </w:p>
    <w:p>
      <w:pPr>
        <w:adjustRightInd w:val="0"/>
        <w:snapToGrid w:val="0"/>
        <w:spacing w:line="360" w:lineRule="auto"/>
        <w:rPr>
          <w:rFonts w:ascii="宋体" w:hAnsi="宋体" w:cs="Courier New"/>
          <w:b/>
          <w:bCs/>
          <w:sz w:val="24"/>
          <w:szCs w:val="24"/>
        </w:rPr>
      </w:pPr>
      <w:r>
        <w:rPr>
          <w:rFonts w:hint="eastAsia" w:ascii="宋体" w:hAnsi="宋体" w:cs="Courier New"/>
          <w:b/>
          <w:bCs/>
          <w:sz w:val="24"/>
          <w:szCs w:val="24"/>
        </w:rPr>
        <w:t xml:space="preserve">二、评标报告 </w:t>
      </w:r>
    </w:p>
    <w:p>
      <w:pPr>
        <w:adjustRightInd w:val="0"/>
        <w:snapToGrid w:val="0"/>
        <w:spacing w:line="360" w:lineRule="auto"/>
        <w:ind w:firstLine="435"/>
        <w:rPr>
          <w:rFonts w:ascii="宋体" w:hAnsi="宋体"/>
          <w:sz w:val="24"/>
          <w:szCs w:val="24"/>
        </w:rPr>
      </w:pPr>
      <w:r>
        <w:rPr>
          <w:rFonts w:hint="eastAsia" w:ascii="宋体" w:hAnsi="宋体"/>
          <w:sz w:val="24"/>
          <w:szCs w:val="24"/>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adjustRightInd w:val="0"/>
        <w:snapToGrid w:val="0"/>
        <w:spacing w:line="360" w:lineRule="auto"/>
        <w:ind w:firstLine="435"/>
        <w:rPr>
          <w:rFonts w:ascii="宋体" w:hAnsi="宋体"/>
          <w:sz w:val="24"/>
          <w:szCs w:val="24"/>
        </w:rPr>
      </w:pPr>
      <w:r>
        <w:rPr>
          <w:rFonts w:hint="eastAsia" w:ascii="宋体" w:hAnsi="宋体"/>
          <w:sz w:val="24"/>
          <w:szCs w:val="24"/>
        </w:rPr>
        <w:t>评标委员会应在评标报告中，由得分从高到低推荐前二名为中标候选人。得分相同时，投标价低者优先。若第一中标候选人在中标后30天内拒绝与采购人签订合同的，采购人可以与符合标的的第二中标候选人签约采购货物；若第一中标候选人签订合同后未按合同及采购人要求进行产品设计制作的，采购人有权与其解除合同并与符合标的的第二中标候选人签订采购合同。</w:t>
      </w: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adjustRightInd w:val="0"/>
        <w:snapToGrid w:val="0"/>
        <w:spacing w:line="360" w:lineRule="auto"/>
        <w:ind w:firstLine="435"/>
        <w:rPr>
          <w:rFonts w:ascii="宋体" w:hAnsi="宋体"/>
          <w:sz w:val="24"/>
          <w:szCs w:val="24"/>
        </w:rPr>
      </w:pPr>
    </w:p>
    <w:p>
      <w:pPr>
        <w:spacing w:line="360" w:lineRule="auto"/>
        <w:jc w:val="center"/>
        <w:rPr>
          <w:rFonts w:ascii="宋体" w:hAnsi="宋体"/>
          <w:b/>
          <w:sz w:val="32"/>
          <w:szCs w:val="32"/>
        </w:rPr>
      </w:pPr>
      <w:r>
        <w:rPr>
          <w:rFonts w:hint="eastAsia" w:ascii="宋体" w:hAnsi="宋体"/>
          <w:b/>
          <w:sz w:val="32"/>
          <w:szCs w:val="32"/>
        </w:rPr>
        <w:t>第六章</w:t>
      </w:r>
      <w:r>
        <w:rPr>
          <w:rFonts w:ascii="宋体" w:hAnsi="宋体"/>
          <w:b/>
          <w:sz w:val="32"/>
          <w:szCs w:val="32"/>
        </w:rPr>
        <w:t xml:space="preserve">  </w:t>
      </w:r>
      <w:r>
        <w:rPr>
          <w:rFonts w:hint="eastAsia" w:ascii="宋体" w:hAnsi="宋体"/>
          <w:b/>
          <w:sz w:val="32"/>
          <w:szCs w:val="32"/>
        </w:rPr>
        <w:t>投标相关文件格式</w:t>
      </w:r>
    </w:p>
    <w:p>
      <w:pPr>
        <w:widowControl/>
        <w:tabs>
          <w:tab w:val="left" w:pos="0"/>
        </w:tabs>
        <w:snapToGrid w:val="0"/>
        <w:spacing w:line="360" w:lineRule="auto"/>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1" w:name="_Toc350938485"/>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8415" b="1841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kern w:val="0"/>
          <w:sz w:val="36"/>
          <w:szCs w:val="36"/>
        </w:rPr>
        <w:t>附件</w:t>
      </w:r>
      <w:r>
        <w:rPr>
          <w:rFonts w:hint="eastAsia" w:ascii="宋体" w:hAnsi="宋体"/>
          <w:b/>
          <w:bCs/>
          <w:kern w:val="0"/>
          <w:sz w:val="36"/>
          <w:szCs w:val="36"/>
        </w:rPr>
        <w:t>一</w:t>
      </w:r>
      <w:r>
        <w:rPr>
          <w:rFonts w:ascii="宋体" w:hAnsi="宋体"/>
          <w:b/>
          <w:bCs/>
          <w:kern w:val="0"/>
          <w:sz w:val="36"/>
          <w:szCs w:val="36"/>
        </w:rPr>
        <w:t xml:space="preserve">                 封面格式1</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before="150" w:after="150" w:line="480" w:lineRule="atLeast"/>
        <w:ind w:right="300"/>
        <w:jc w:val="left"/>
        <w:rPr>
          <w:rFonts w:ascii="宋体" w:hAnsi="宋体"/>
          <w:b/>
          <w:bCs/>
          <w:kern w:val="0"/>
          <w:sz w:val="32"/>
          <w:szCs w:val="32"/>
        </w:rPr>
      </w:pPr>
    </w:p>
    <w:p>
      <w:pPr>
        <w:widowControl/>
        <w:spacing w:before="150" w:after="150" w:line="480" w:lineRule="atLeast"/>
        <w:ind w:right="300"/>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 w:val="36"/>
          <w:szCs w:val="36"/>
        </w:rPr>
      </w:pPr>
      <w:bookmarkStart w:id="2" w:name="_Toc350938486"/>
    </w:p>
    <w:p>
      <w:pPr>
        <w:widowControl/>
        <w:spacing w:before="260" w:after="260" w:line="270" w:lineRule="atLeast"/>
        <w:ind w:left="-141" w:leftChars="-67"/>
        <w:jc w:val="left"/>
        <w:rPr>
          <w:rFonts w:ascii="宋体" w:hAnsi="宋体"/>
          <w:b/>
          <w:bCs/>
          <w:kern w:val="0"/>
          <w:sz w:val="36"/>
          <w:szCs w:val="36"/>
        </w:rPr>
      </w:pPr>
    </w:p>
    <w:p>
      <w:pPr>
        <w:widowControl/>
        <w:spacing w:before="260" w:after="260" w:line="270" w:lineRule="atLeast"/>
        <w:ind w:left="-141" w:leftChars="-67"/>
        <w:jc w:val="left"/>
        <w:rPr>
          <w:rFonts w:ascii="宋体" w:hAnsi="宋体"/>
          <w:b/>
          <w:bCs/>
          <w:kern w:val="0"/>
          <w:sz w:val="36"/>
          <w:szCs w:val="36"/>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8415" b="1841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kern w:val="0"/>
          <w:szCs w:val="21"/>
        </w:rPr>
      </w:pPr>
      <w:r>
        <w:rPr>
          <w:rFonts w:ascii="宋体" w:hAnsi="宋体"/>
          <w:b/>
          <w:bCs/>
          <w:kern w:val="0"/>
          <w:sz w:val="36"/>
          <w:szCs w:val="36"/>
        </w:rPr>
        <w:t>附件</w:t>
      </w:r>
      <w:r>
        <w:rPr>
          <w:rFonts w:hint="eastAsia" w:ascii="宋体" w:hAnsi="宋体"/>
          <w:b/>
          <w:bCs/>
          <w:kern w:val="0"/>
          <w:sz w:val="36"/>
          <w:szCs w:val="36"/>
        </w:rPr>
        <w:t>二</w:t>
      </w:r>
      <w:r>
        <w:rPr>
          <w:rFonts w:ascii="宋体" w:hAnsi="宋体"/>
          <w:b/>
          <w:bCs/>
          <w:kern w:val="0"/>
          <w:sz w:val="36"/>
          <w:szCs w:val="36"/>
        </w:rPr>
        <w:t xml:space="preserve">                  封面格式2</w:t>
      </w:r>
      <w:bookmarkEnd w:id="2"/>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spacing w:line="360" w:lineRule="auto"/>
        <w:rPr>
          <w:rFonts w:ascii="宋体" w:hAnsi="宋体"/>
          <w:b/>
          <w:sz w:val="32"/>
          <w:szCs w:val="32"/>
        </w:rPr>
      </w:pPr>
    </w:p>
    <w:p>
      <w:pPr>
        <w:widowControl/>
        <w:spacing w:line="420" w:lineRule="atLeast"/>
        <w:rPr>
          <w:rFonts w:ascii="宋体" w:hAnsi="宋体" w:cs="宋体"/>
          <w:kern w:val="0"/>
          <w:sz w:val="28"/>
          <w:szCs w:val="28"/>
        </w:rPr>
      </w:pPr>
      <w:r>
        <w:rPr>
          <w:rFonts w:hint="eastAsia" w:ascii="宋体" w:hAnsi="宋体" w:cs="宋体"/>
          <w:kern w:val="0"/>
          <w:sz w:val="28"/>
          <w:szCs w:val="28"/>
        </w:rPr>
        <w:t>附件三：                 投标函（格式）</w:t>
      </w:r>
    </w:p>
    <w:p>
      <w:pPr>
        <w:pStyle w:val="6"/>
        <w:spacing w:line="400" w:lineRule="exact"/>
        <w:rPr>
          <w:rFonts w:hAnsi="宋体" w:cs="宋体"/>
          <w:kern w:val="0"/>
          <w:sz w:val="24"/>
          <w:szCs w:val="24"/>
        </w:rPr>
      </w:pPr>
    </w:p>
    <w:p>
      <w:pPr>
        <w:pStyle w:val="6"/>
        <w:spacing w:line="400" w:lineRule="exact"/>
        <w:rPr>
          <w:rFonts w:hAnsi="宋体" w:cs="宋体"/>
          <w:kern w:val="0"/>
          <w:sz w:val="24"/>
          <w:szCs w:val="24"/>
        </w:rPr>
      </w:pPr>
      <w:r>
        <w:rPr>
          <w:rFonts w:hint="eastAsia" w:hAnsi="宋体" w:cs="宋体"/>
          <w:kern w:val="0"/>
          <w:sz w:val="24"/>
          <w:szCs w:val="24"/>
        </w:rPr>
        <w:t xml:space="preserve">致：                  </w:t>
      </w:r>
    </w:p>
    <w:p>
      <w:pPr>
        <w:pStyle w:val="6"/>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1、技术标，正本一份，副本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2、商务标，正本一份，副本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3、其他：</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4、据此函，签字代表宣布同意如下：</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1）所附投标报价表中规定的应提供和支付的设备和服务投标总价为（人民币） </w:t>
      </w:r>
      <w:r>
        <w:rPr>
          <w:rFonts w:hint="eastAsia" w:ascii="宋体" w:hAnsi="宋体" w:cs="宋体"/>
          <w:kern w:val="0"/>
          <w:sz w:val="24"/>
          <w:szCs w:val="24"/>
          <w:u w:val="single"/>
        </w:rPr>
        <w:t xml:space="preserve">      </w:t>
      </w:r>
      <w:r>
        <w:rPr>
          <w:rFonts w:hint="eastAsia" w:ascii="宋体" w:hAnsi="宋体" w:cs="宋体"/>
          <w:kern w:val="0"/>
          <w:sz w:val="24"/>
          <w:szCs w:val="24"/>
        </w:rPr>
        <w:t>， 即</w:t>
      </w:r>
      <w:r>
        <w:rPr>
          <w:rFonts w:hint="eastAsia" w:ascii="宋体" w:hAnsi="宋体" w:cs="宋体"/>
          <w:kern w:val="0"/>
          <w:sz w:val="24"/>
          <w:szCs w:val="24"/>
          <w:u w:val="single"/>
        </w:rPr>
        <w:t xml:space="preserve">            </w:t>
      </w:r>
      <w:r>
        <w:rPr>
          <w:rFonts w:hint="eastAsia" w:ascii="宋体" w:hAnsi="宋体" w:cs="宋体"/>
          <w:kern w:val="0"/>
          <w:sz w:val="24"/>
          <w:szCs w:val="24"/>
        </w:rPr>
        <w:t>（大写）。（企业成本价为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3）投标人将按招标文件规定履行合同责任和义务。</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4）其投标自开标之日起有效期____个日历天。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5）如果在规定的开标时间后，投标人不得在投标有效期内撤回投标。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7）投标文件中未明确的东西，一律按招标文件规定执行。</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8）与本投标有关的一切正式往来通讯请寄：</w:t>
      </w:r>
    </w:p>
    <w:p>
      <w:pPr>
        <w:spacing w:line="600" w:lineRule="exact"/>
        <w:rPr>
          <w:rFonts w:ascii="宋体" w:hAnsi="宋体" w:cs="宋体"/>
          <w:kern w:val="0"/>
          <w:sz w:val="24"/>
          <w:szCs w:val="24"/>
        </w:rPr>
      </w:pPr>
      <w:r>
        <w:rPr>
          <w:rFonts w:hint="eastAsia" w:ascii="宋体" w:hAnsi="宋体" w:cs="宋体"/>
          <w:kern w:val="0"/>
          <w:sz w:val="24"/>
          <w:szCs w:val="24"/>
        </w:rPr>
        <w:t xml:space="preserve">地址：______________________             邮编：______________________  </w:t>
      </w:r>
    </w:p>
    <w:p>
      <w:pPr>
        <w:spacing w:line="600" w:lineRule="exact"/>
        <w:rPr>
          <w:rFonts w:ascii="宋体" w:hAnsi="宋体" w:cs="宋体"/>
          <w:kern w:val="0"/>
          <w:sz w:val="24"/>
          <w:szCs w:val="24"/>
        </w:rPr>
      </w:pPr>
      <w:r>
        <w:rPr>
          <w:rFonts w:hint="eastAsia" w:ascii="宋体" w:hAnsi="宋体" w:cs="宋体"/>
          <w:kern w:val="0"/>
          <w:sz w:val="24"/>
          <w:szCs w:val="24"/>
        </w:rPr>
        <w:t xml:space="preserve">电话：______________________            传真：______________________ </w:t>
      </w:r>
    </w:p>
    <w:p>
      <w:pPr>
        <w:spacing w:line="600" w:lineRule="exact"/>
        <w:rPr>
          <w:rFonts w:ascii="宋体" w:hAnsi="宋体" w:cs="宋体"/>
          <w:kern w:val="0"/>
          <w:sz w:val="24"/>
          <w:szCs w:val="24"/>
        </w:rPr>
      </w:pPr>
      <w:r>
        <w:rPr>
          <w:rFonts w:hint="eastAsia" w:ascii="宋体" w:hAnsi="宋体" w:cs="宋体"/>
          <w:kern w:val="0"/>
          <w:sz w:val="24"/>
          <w:szCs w:val="24"/>
        </w:rPr>
        <w:t>投标人名称：_____________ （公章）      全权代表签字： ____________</w:t>
      </w:r>
    </w:p>
    <w:p>
      <w:pPr>
        <w:spacing w:line="600" w:lineRule="exact"/>
        <w:rPr>
          <w:rFonts w:ascii="宋体" w:hAnsi="宋体" w:cs="宋体"/>
          <w:kern w:val="0"/>
          <w:sz w:val="24"/>
          <w:szCs w:val="24"/>
        </w:rPr>
      </w:pPr>
      <w:r>
        <w:rPr>
          <w:rFonts w:hint="eastAsia" w:ascii="宋体" w:hAnsi="宋体" w:cs="宋体"/>
          <w:kern w:val="0"/>
          <w:sz w:val="24"/>
          <w:szCs w:val="24"/>
        </w:rPr>
        <w:t>投标人代表职务： ______________________</w:t>
      </w:r>
    </w:p>
    <w:p>
      <w:pPr>
        <w:spacing w:line="600" w:lineRule="exact"/>
        <w:rPr>
          <w:rFonts w:ascii="宋体" w:hAnsi="宋体" w:cs="宋体"/>
          <w:kern w:val="0"/>
          <w:sz w:val="24"/>
          <w:szCs w:val="24"/>
        </w:rPr>
      </w:pPr>
      <w:r>
        <w:rPr>
          <w:rFonts w:hint="eastAsia" w:ascii="宋体" w:hAnsi="宋体" w:cs="宋体"/>
          <w:kern w:val="0"/>
          <w:sz w:val="24"/>
          <w:szCs w:val="24"/>
        </w:rPr>
        <w:t xml:space="preserve">投标日期： _______年____月____日      </w:t>
      </w: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rPr>
          <w:rFonts w:ascii="宋体" w:hAnsi="宋体"/>
          <w:b/>
          <w:bCs/>
          <w:sz w:val="36"/>
          <w:szCs w:val="36"/>
        </w:rPr>
      </w:pPr>
    </w:p>
    <w:p>
      <w:pPr>
        <w:rPr>
          <w:rFonts w:ascii="宋体" w:hAnsi="宋体"/>
          <w:b/>
          <w:bCs/>
          <w:sz w:val="36"/>
          <w:szCs w:val="36"/>
        </w:rPr>
      </w:pPr>
    </w:p>
    <w:p>
      <w:pPr>
        <w:rPr>
          <w:rFonts w:ascii="宋体" w:hAnsi="宋体" w:cs="宋体"/>
          <w:b/>
          <w:bCs/>
          <w:kern w:val="0"/>
          <w:sz w:val="28"/>
          <w:szCs w:val="28"/>
        </w:rPr>
      </w:pP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项目名称：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日    期：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致：（采购人名称）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注册于</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（注册地址）的</w:t>
      </w:r>
      <w:r>
        <w:rPr>
          <w:rFonts w:hint="eastAsia" w:ascii="宋体" w:hAnsi="宋体" w:cs="宋体"/>
          <w:kern w:val="0"/>
          <w:sz w:val="24"/>
          <w:szCs w:val="24"/>
          <w:u w:val="single"/>
          <w:lang w:val="zh-CN"/>
        </w:rPr>
        <w:t xml:space="preserve">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（投标人名称），系中华人民共和国合法企业；本人</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（授权人姓名）系该公司的法定代表人。现特授权（被授权人姓名）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为我公司合法代理人，全权代表我公司办理就</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项目的投标、谈判、签约等具体工作，并签署全部有关的文件、协议及合同。</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我公司对被授权人的签名负全部责任。</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被授权人身份证复印件：</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投标人公章：</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授权人签名：                       职        务：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被授权人签名：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注：投标人法定代表人参加投标的，提供法定代表人证明书和身份证明即可。</w:t>
      </w:r>
    </w:p>
    <w:p>
      <w:pPr>
        <w:spacing w:line="400" w:lineRule="exact"/>
        <w:rPr>
          <w:rFonts w:ascii="宋体" w:hAnsi="宋体" w:cs="宋体"/>
          <w:kern w:val="0"/>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napToGrid w:val="0"/>
        <w:spacing w:before="50" w:after="50"/>
        <w:rPr>
          <w:rFonts w:ascii="宋体" w:hAnsi="宋体"/>
          <w:b/>
          <w:sz w:val="24"/>
          <w:szCs w:val="24"/>
        </w:rPr>
      </w:pPr>
      <w:r>
        <w:rPr>
          <w:rFonts w:hint="eastAsia" w:ascii="宋体" w:hAnsi="宋体"/>
          <w:b/>
          <w:sz w:val="24"/>
          <w:szCs w:val="24"/>
        </w:rPr>
        <w:t>附件五、报价一览表</w:t>
      </w:r>
    </w:p>
    <w:p>
      <w:pPr>
        <w:snapToGrid w:val="0"/>
        <w:spacing w:before="50" w:after="50"/>
        <w:jc w:val="center"/>
        <w:rPr>
          <w:rFonts w:ascii="宋体" w:hAnsi="宋体"/>
          <w:b/>
          <w:sz w:val="24"/>
          <w:szCs w:val="24"/>
        </w:rPr>
      </w:pPr>
      <w:r>
        <w:rPr>
          <w:rFonts w:hint="eastAsia" w:ascii="宋体" w:hAnsi="宋体"/>
          <w:b/>
          <w:sz w:val="24"/>
          <w:szCs w:val="24"/>
        </w:rPr>
        <w:t>报价一览表</w:t>
      </w:r>
    </w:p>
    <w:p>
      <w:pPr>
        <w:snapToGrid w:val="0"/>
        <w:spacing w:before="50" w:after="50"/>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单位：元</w:t>
      </w:r>
      <w:r>
        <w:rPr>
          <w:rFonts w:ascii="宋体" w:hAnsi="宋体"/>
          <w:sz w:val="24"/>
          <w:szCs w:val="24"/>
        </w:rPr>
        <w:t xml:space="preserve">                        </w:t>
      </w:r>
    </w:p>
    <w:tbl>
      <w:tblPr>
        <w:tblStyle w:val="15"/>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ascii="宋体" w:hAnsi="宋体"/>
                <w:sz w:val="24"/>
                <w:szCs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射线装置技术服务</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rPr>
            </w:pPr>
            <w:r>
              <w:rPr>
                <w:rFonts w:hint="eastAsia" w:ascii="宋体" w:hAnsi="宋体"/>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hint="eastAsia" w:ascii="宋体" w:hAnsi="宋体"/>
                <w:sz w:val="24"/>
                <w:szCs w:val="24"/>
              </w:rPr>
              <w:t>合计金额大写：                                     ￥</w:t>
            </w:r>
            <w:r>
              <w:rPr>
                <w:rFonts w:ascii="宋体" w:hAnsi="宋体"/>
                <w:sz w:val="24"/>
                <w:szCs w:val="24"/>
                <w:u w:val="single"/>
              </w:rPr>
              <w:t xml:space="preserve">            </w:t>
            </w:r>
          </w:p>
          <w:p>
            <w:pPr>
              <w:snapToGrid w:val="0"/>
              <w:spacing w:before="50" w:after="5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tc>
      </w:tr>
    </w:tbl>
    <w:p>
      <w:pPr>
        <w:snapToGrid w:val="0"/>
        <w:spacing w:before="50" w:after="50" w:line="420" w:lineRule="exact"/>
        <w:jc w:val="left"/>
        <w:rPr>
          <w:rFonts w:ascii="宋体" w:hAnsi="宋体"/>
          <w:sz w:val="24"/>
          <w:szCs w:val="24"/>
        </w:rPr>
      </w:pPr>
      <w:r>
        <w:rPr>
          <w:rFonts w:hint="eastAsia" w:ascii="宋体" w:hAnsi="宋体"/>
          <w:sz w:val="24"/>
          <w:szCs w:val="24"/>
        </w:rPr>
        <w:t>注</w:t>
      </w:r>
      <w:r>
        <w:rPr>
          <w:rFonts w:ascii="宋体" w:hAnsi="宋体"/>
          <w:sz w:val="24"/>
          <w:szCs w:val="24"/>
        </w:rPr>
        <w:t>: 1</w:t>
      </w:r>
      <w:r>
        <w:rPr>
          <w:rFonts w:hint="eastAsia" w:ascii="宋体" w:hAnsi="宋体"/>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、以上报价应与“投标设备报价明细表”中的“投标总价”相一致。</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法定代表人或授权代表（签字或盖章）：</w:t>
      </w:r>
      <w:r>
        <w:rPr>
          <w:rFonts w:ascii="宋体" w:hAnsi="宋体"/>
          <w:sz w:val="24"/>
          <w:szCs w:val="24"/>
        </w:rPr>
        <w:t xml:space="preserve">                    </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sz w:val="24"/>
          <w:szCs w:val="24"/>
        </w:rPr>
      </w:pPr>
      <w:r>
        <w:rPr>
          <w:rFonts w:hint="eastAsia" w:hAnsi="宋体"/>
          <w:b/>
          <w:sz w:val="24"/>
          <w:szCs w:val="24"/>
        </w:rPr>
        <w:t xml:space="preserve">附件六 </w:t>
      </w:r>
      <w:r>
        <w:rPr>
          <w:rFonts w:hAnsi="宋体"/>
          <w:b/>
          <w:sz w:val="24"/>
          <w:szCs w:val="24"/>
        </w:rPr>
        <w:t xml:space="preserve">投标报价明细表格式：       </w:t>
      </w:r>
    </w:p>
    <w:p>
      <w:pPr>
        <w:pStyle w:val="6"/>
        <w:snapToGrid w:val="0"/>
        <w:spacing w:before="295" w:after="295"/>
        <w:jc w:val="center"/>
        <w:rPr>
          <w:rFonts w:hAnsi="宋体"/>
          <w:sz w:val="24"/>
          <w:szCs w:val="24"/>
        </w:rPr>
      </w:pPr>
      <w:r>
        <w:rPr>
          <w:rFonts w:hAnsi="宋体"/>
          <w:sz w:val="24"/>
          <w:szCs w:val="24"/>
        </w:rPr>
        <w:t>投标报价明细表</w:t>
      </w:r>
    </w:p>
    <w:p>
      <w:pPr>
        <w:pStyle w:val="6"/>
        <w:snapToGrid w:val="0"/>
        <w:spacing w:before="295" w:after="295"/>
        <w:rPr>
          <w:rFonts w:hAnsi="宋体"/>
          <w:sz w:val="24"/>
          <w:szCs w:val="24"/>
        </w:rPr>
      </w:pPr>
      <w:r>
        <w:rPr>
          <w:rFonts w:hAnsi="宋体"/>
          <w:sz w:val="24"/>
          <w:szCs w:val="24"/>
        </w:rPr>
        <w:t>标项：</w:t>
      </w:r>
      <w:r>
        <w:rPr>
          <w:rFonts w:hAnsi="宋体"/>
          <w:sz w:val="24"/>
          <w:szCs w:val="24"/>
          <w:u w:val="single"/>
        </w:rPr>
        <w:t xml:space="preserve">              </w:t>
      </w:r>
      <w:r>
        <w:rPr>
          <w:rFonts w:hAnsi="宋体"/>
          <w:sz w:val="24"/>
          <w:szCs w:val="24"/>
        </w:rPr>
        <w:t xml:space="preserve">                   金额单位：人民币（元）</w:t>
      </w:r>
    </w:p>
    <w:tbl>
      <w:tblPr>
        <w:tblStyle w:val="15"/>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8"/>
        <w:gridCol w:w="2585"/>
        <w:gridCol w:w="3455"/>
        <w:gridCol w:w="24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4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spacing w:val="20"/>
                <w:sz w:val="24"/>
                <w:szCs w:val="24"/>
              </w:rPr>
            </w:pPr>
            <w:r>
              <w:rPr>
                <w:sz w:val="24"/>
                <w:szCs w:val="24"/>
              </w:rPr>
              <w:t>序号</w:t>
            </w:r>
          </w:p>
        </w:tc>
        <w:tc>
          <w:tcPr>
            <w:tcW w:w="25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spacing w:val="20"/>
                <w:sz w:val="24"/>
                <w:szCs w:val="24"/>
              </w:rPr>
            </w:pPr>
            <w:r>
              <w:rPr>
                <w:sz w:val="24"/>
                <w:szCs w:val="24"/>
              </w:rPr>
              <w:t>服务项目</w:t>
            </w:r>
          </w:p>
        </w:tc>
        <w:tc>
          <w:tcPr>
            <w:tcW w:w="3455"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50" w:after="50" w:line="240" w:lineRule="auto"/>
              <w:rPr>
                <w:rFonts w:ascii="Times New Roman" w:eastAsia="宋体"/>
              </w:rPr>
            </w:pPr>
            <w:r>
              <w:rPr>
                <w:rFonts w:ascii="Times New Roman" w:eastAsia="宋体"/>
              </w:rPr>
              <w:t>设备</w:t>
            </w:r>
          </w:p>
        </w:tc>
        <w:tc>
          <w:tcPr>
            <w:tcW w:w="24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spacing w:val="20"/>
                <w:sz w:val="24"/>
                <w:szCs w:val="24"/>
              </w:rPr>
            </w:pPr>
            <w:r>
              <w:rPr>
                <w:sz w:val="24"/>
                <w:szCs w:val="24"/>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48" w:type="dxa"/>
            <w:tcBorders>
              <w:top w:val="single" w:color="auto" w:sz="4" w:space="0"/>
              <w:left w:val="single" w:color="auto" w:sz="4" w:space="0"/>
              <w:right w:val="single" w:color="auto" w:sz="4" w:space="0"/>
            </w:tcBorders>
            <w:vAlign w:val="center"/>
          </w:tcPr>
          <w:p>
            <w:pPr>
              <w:tabs>
                <w:tab w:val="left" w:pos="1418"/>
              </w:tabs>
              <w:snapToGrid w:val="0"/>
              <w:spacing w:before="50" w:after="50"/>
              <w:jc w:val="center"/>
              <w:rPr>
                <w:spacing w:val="20"/>
                <w:sz w:val="24"/>
                <w:szCs w:val="24"/>
              </w:rPr>
            </w:pPr>
            <w:r>
              <w:rPr>
                <w:spacing w:val="20"/>
                <w:sz w:val="24"/>
                <w:szCs w:val="24"/>
              </w:rPr>
              <w:t>1</w:t>
            </w:r>
          </w:p>
        </w:tc>
        <w:tc>
          <w:tcPr>
            <w:tcW w:w="2585" w:type="dxa"/>
            <w:tcBorders>
              <w:top w:val="single" w:color="auto" w:sz="4" w:space="0"/>
              <w:left w:val="single" w:color="auto" w:sz="4" w:space="0"/>
              <w:right w:val="single" w:color="auto" w:sz="4" w:space="0"/>
            </w:tcBorders>
            <w:vAlign w:val="center"/>
          </w:tcPr>
          <w:p>
            <w:pPr>
              <w:spacing w:line="440" w:lineRule="exact"/>
              <w:jc w:val="center"/>
              <w:rPr>
                <w:sz w:val="24"/>
                <w:szCs w:val="24"/>
              </w:rPr>
            </w:pPr>
            <w:r>
              <w:rPr>
                <w:sz w:val="24"/>
              </w:rPr>
              <w:t>职业病危害放射防护预评价</w:t>
            </w:r>
          </w:p>
        </w:tc>
        <w:tc>
          <w:tcPr>
            <w:tcW w:w="34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54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spacing w:val="20"/>
                <w:sz w:val="24"/>
                <w:szCs w:val="24"/>
              </w:rPr>
            </w:pPr>
            <w:r>
              <w:rPr>
                <w:spacing w:val="20"/>
                <w:sz w:val="24"/>
                <w:szCs w:val="24"/>
              </w:rPr>
              <w:t>2</w:t>
            </w:r>
          </w:p>
        </w:tc>
        <w:tc>
          <w:tcPr>
            <w:tcW w:w="25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szCs w:val="24"/>
              </w:rPr>
            </w:pPr>
            <w:r>
              <w:rPr>
                <w:sz w:val="24"/>
              </w:rPr>
              <w:t>职业病危害控制效果放射防护评价</w:t>
            </w:r>
          </w:p>
        </w:tc>
        <w:tc>
          <w:tcPr>
            <w:tcW w:w="34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spacing w:val="2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54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spacing w:val="20"/>
                <w:sz w:val="24"/>
                <w:szCs w:val="24"/>
              </w:rPr>
            </w:pPr>
            <w:r>
              <w:rPr>
                <w:rFonts w:hint="eastAsia"/>
                <w:spacing w:val="20"/>
                <w:sz w:val="24"/>
                <w:szCs w:val="24"/>
              </w:rPr>
              <w:t>3</w:t>
            </w:r>
          </w:p>
        </w:tc>
        <w:tc>
          <w:tcPr>
            <w:tcW w:w="25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szCs w:val="24"/>
              </w:rPr>
            </w:pPr>
            <w:r>
              <w:rPr>
                <w:rFonts w:hint="eastAsia"/>
                <w:sz w:val="24"/>
              </w:rPr>
              <w:t>建设项目竣工环境保护验收</w:t>
            </w:r>
          </w:p>
        </w:tc>
        <w:tc>
          <w:tcPr>
            <w:tcW w:w="34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spacing w:val="20"/>
                <w:sz w:val="24"/>
                <w:szCs w:val="24"/>
              </w:rPr>
            </w:pPr>
          </w:p>
        </w:tc>
      </w:tr>
    </w:tbl>
    <w:p>
      <w:pPr>
        <w:tabs>
          <w:tab w:val="left" w:pos="1418"/>
        </w:tabs>
        <w:snapToGrid w:val="0"/>
        <w:spacing w:before="50" w:after="50"/>
        <w:ind w:left="1418" w:hanging="567"/>
        <w:jc w:val="center"/>
        <w:rPr>
          <w:rFonts w:ascii="宋体" w:hAnsi="宋体"/>
          <w:spacing w:val="20"/>
          <w:sz w:val="24"/>
          <w:szCs w:val="24"/>
          <w:u w:val="single"/>
        </w:rPr>
      </w:pPr>
    </w:p>
    <w:p>
      <w:pPr>
        <w:snapToGrid w:val="0"/>
        <w:spacing w:before="50" w:after="50"/>
        <w:rPr>
          <w:rFonts w:ascii="宋体" w:hAnsi="宋体"/>
          <w:spacing w:val="20"/>
          <w:sz w:val="24"/>
          <w:szCs w:val="24"/>
          <w:u w:val="single"/>
        </w:rPr>
      </w:pPr>
      <w:r>
        <w:rPr>
          <w:rFonts w:hint="eastAsia" w:ascii="宋体" w:hAnsi="宋体"/>
          <w:spacing w:val="20"/>
          <w:sz w:val="24"/>
          <w:szCs w:val="24"/>
        </w:rPr>
        <w:t>授权代表签名：</w:t>
      </w:r>
      <w:r>
        <w:rPr>
          <w:rFonts w:ascii="宋体" w:hAnsi="宋体"/>
          <w:spacing w:val="20"/>
          <w:sz w:val="24"/>
          <w:szCs w:val="24"/>
          <w:u w:val="single"/>
        </w:rPr>
        <w:t xml:space="preserve">     </w:t>
      </w:r>
      <w:r>
        <w:rPr>
          <w:rFonts w:hint="eastAsia" w:ascii="宋体" w:hAnsi="宋体"/>
          <w:spacing w:val="20"/>
          <w:sz w:val="24"/>
          <w:szCs w:val="24"/>
          <w:u w:val="single"/>
        </w:rPr>
        <w:t xml:space="preserve">   </w:t>
      </w:r>
      <w:r>
        <w:rPr>
          <w:rFonts w:ascii="宋体" w:hAnsi="宋体"/>
          <w:spacing w:val="20"/>
          <w:sz w:val="24"/>
          <w:szCs w:val="24"/>
          <w:u w:val="single"/>
        </w:rPr>
        <w:t xml:space="preserve">     </w:t>
      </w: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u w:val="single"/>
        </w:rPr>
      </w:pPr>
      <w:r>
        <w:rPr>
          <w:rFonts w:hint="eastAsia" w:ascii="宋体" w:hAnsi="宋体"/>
          <w:spacing w:val="20"/>
          <w:sz w:val="24"/>
          <w:szCs w:val="24"/>
        </w:rPr>
        <w:t>投标人盖章：</w:t>
      </w:r>
      <w:r>
        <w:rPr>
          <w:rFonts w:ascii="宋体" w:hAnsi="宋体"/>
          <w:spacing w:val="20"/>
          <w:sz w:val="24"/>
          <w:szCs w:val="24"/>
          <w:u w:val="single"/>
        </w:rPr>
        <w:t xml:space="preserve">               </w:t>
      </w:r>
      <w:r>
        <w:rPr>
          <w:rFonts w:ascii="宋体" w:hAnsi="宋体"/>
          <w:spacing w:val="20"/>
          <w:sz w:val="24"/>
          <w:szCs w:val="24"/>
        </w:rPr>
        <w:t xml:space="preserve">           </w:t>
      </w:r>
      <w:r>
        <w:rPr>
          <w:rFonts w:hint="eastAsia" w:ascii="宋体" w:hAnsi="宋体"/>
          <w:spacing w:val="20"/>
          <w:sz w:val="24"/>
          <w:szCs w:val="24"/>
        </w:rPr>
        <w:t>日</w:t>
      </w:r>
      <w:r>
        <w:rPr>
          <w:rFonts w:ascii="宋体" w:hAnsi="宋体"/>
          <w:spacing w:val="20"/>
          <w:sz w:val="24"/>
          <w:szCs w:val="24"/>
        </w:rPr>
        <w:t xml:space="preserve">  </w:t>
      </w:r>
      <w:r>
        <w:rPr>
          <w:rFonts w:hint="eastAsia" w:ascii="宋体" w:hAnsi="宋体"/>
          <w:spacing w:val="20"/>
          <w:sz w:val="24"/>
          <w:szCs w:val="24"/>
        </w:rPr>
        <w:t>期：</w:t>
      </w:r>
      <w:r>
        <w:rPr>
          <w:rFonts w:ascii="宋体" w:hAnsi="宋体"/>
          <w:spacing w:val="20"/>
          <w:sz w:val="24"/>
          <w:szCs w:val="24"/>
          <w:u w:val="single"/>
        </w:rPr>
        <w:t xml:space="preserve">         </w:t>
      </w:r>
    </w:p>
    <w:p>
      <w:pPr>
        <w:pStyle w:val="6"/>
        <w:snapToGrid w:val="0"/>
        <w:spacing w:before="295" w:after="295"/>
        <w:ind w:firstLine="480" w:firstLineChars="200"/>
        <w:rPr>
          <w:rFonts w:hAnsi="宋体"/>
          <w:sz w:val="24"/>
          <w:szCs w:val="24"/>
        </w:rPr>
      </w:pP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sz w:val="24"/>
          <w:szCs w:val="24"/>
        </w:rPr>
      </w:pPr>
      <w:r>
        <w:rPr>
          <w:rFonts w:hint="eastAsia" w:ascii="宋体" w:hAnsi="宋体"/>
          <w:sz w:val="24"/>
          <w:szCs w:val="24"/>
        </w:rPr>
        <w:t>2、以上单价必须是最终报价，与投标总价相对应，不允许在总价基础上再报优惠价。</w:t>
      </w:r>
    </w:p>
    <w:p>
      <w:pPr>
        <w:rPr>
          <w:rFonts w:ascii="宋体" w:hAnsi="宋体"/>
        </w:rPr>
      </w:pPr>
    </w:p>
    <w:p>
      <w:pPr>
        <w:rPr>
          <w:rFonts w:ascii="宋体" w:hAnsi="宋体"/>
        </w:rPr>
      </w:pPr>
    </w:p>
    <w:p>
      <w:pPr>
        <w:widowControl/>
        <w:jc w:val="left"/>
        <w:rPr>
          <w:rFonts w:ascii="宋体" w:hAnsi="宋体"/>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3108087"/>
    </w:sdtPr>
    <w:sdtContent>
      <w:sdt>
        <w:sdtPr>
          <w:id w:val="1728636285"/>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MzI0NDRmYWIxY2I4NmMzZDQyOWM5M2RiZTNkODYifQ=="/>
  </w:docVars>
  <w:rsids>
    <w:rsidRoot w:val="000F5ADD"/>
    <w:rsid w:val="000F5ADD"/>
    <w:rsid w:val="0013286E"/>
    <w:rsid w:val="00177CD1"/>
    <w:rsid w:val="004B4792"/>
    <w:rsid w:val="004C249F"/>
    <w:rsid w:val="006628DC"/>
    <w:rsid w:val="009321D3"/>
    <w:rsid w:val="00947B8A"/>
    <w:rsid w:val="009852A9"/>
    <w:rsid w:val="00A94FDD"/>
    <w:rsid w:val="00CE5797"/>
    <w:rsid w:val="00D54475"/>
    <w:rsid w:val="00DF4467"/>
    <w:rsid w:val="00F820E2"/>
    <w:rsid w:val="00FE0688"/>
    <w:rsid w:val="1B02293D"/>
    <w:rsid w:val="629C0E7C"/>
    <w:rsid w:val="67AD329E"/>
    <w:rsid w:val="7C736C93"/>
    <w:rsid w:val="7FFC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07"/>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eastAsia="仿宋_GB2312"/>
      <w:sz w:val="32"/>
    </w:rPr>
  </w:style>
  <w:style w:type="paragraph" w:styleId="4">
    <w:name w:val="annotation text"/>
    <w:basedOn w:val="1"/>
    <w:unhideWhenUsed/>
    <w:qFormat/>
    <w:uiPriority w:val="99"/>
    <w:pPr>
      <w:jc w:val="left"/>
    </w:pPr>
  </w:style>
  <w:style w:type="paragraph" w:styleId="5">
    <w:name w:val="Body Text"/>
    <w:basedOn w:val="1"/>
    <w:link w:val="104"/>
    <w:unhideWhenUsed/>
    <w:qFormat/>
    <w:uiPriority w:val="99"/>
    <w:pPr>
      <w:spacing w:after="120"/>
    </w:pPr>
  </w:style>
  <w:style w:type="paragraph" w:styleId="6">
    <w:name w:val="Plain Text"/>
    <w:basedOn w:val="1"/>
    <w:link w:val="25"/>
    <w:unhideWhenUsed/>
    <w:qFormat/>
    <w:uiPriority w:val="0"/>
    <w:rPr>
      <w:rFonts w:ascii="宋体" w:hAnsi="Courier New" w:cs="Courier New"/>
      <w:szCs w:val="21"/>
    </w:rPr>
  </w:style>
  <w:style w:type="paragraph" w:styleId="7">
    <w:name w:val="Date"/>
    <w:basedOn w:val="1"/>
    <w:next w:val="1"/>
    <w:link w:val="30"/>
    <w:qFormat/>
    <w:uiPriority w:val="0"/>
    <w:pPr>
      <w:adjustRightInd w:val="0"/>
      <w:spacing w:line="312" w:lineRule="atLeast"/>
      <w:textAlignment w:val="baseline"/>
    </w:pPr>
    <w:rPr>
      <w:rFonts w:ascii="仿宋_GB2312" w:eastAsia="仿宋_GB2312"/>
      <w:kern w:val="0"/>
      <w:sz w:val="28"/>
    </w:rPr>
  </w:style>
  <w:style w:type="paragraph" w:styleId="8">
    <w:name w:val="Body Text Indent 2"/>
    <w:basedOn w:val="1"/>
    <w:link w:val="27"/>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9">
    <w:name w:val="Balloon Text"/>
    <w:basedOn w:val="1"/>
    <w:link w:val="106"/>
    <w:unhideWhenUsed/>
    <w:qFormat/>
    <w:uiPriority w:val="0"/>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108"/>
    <w:qFormat/>
    <w:uiPriority w:val="0"/>
    <w:pPr>
      <w:spacing w:after="120" w:line="480" w:lineRule="auto"/>
    </w:pPr>
    <w:rPr>
      <w:szCs w:val="24"/>
    </w:rPr>
  </w:style>
  <w:style w:type="paragraph" w:styleId="13">
    <w:name w:val="HTML Preformatted"/>
    <w:basedOn w:val="1"/>
    <w:link w:val="24"/>
    <w:unhideWhenUsed/>
    <w:qFormat/>
    <w:uiPriority w:val="99"/>
    <w:rPr>
      <w:rFonts w:ascii="Courier New" w:hAnsi="Courier New" w:cs="Courier New" w:eastAsiaTheme="minorEastAsia"/>
      <w:szCs w:val="22"/>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unhideWhenUsed/>
    <w:qFormat/>
    <w:uiPriority w:val="99"/>
    <w:rPr>
      <w:color w:val="800080"/>
      <w:u w:val="single"/>
    </w:rPr>
  </w:style>
  <w:style w:type="character" w:styleId="20">
    <w:name w:val="Hyperlink"/>
    <w:basedOn w:val="16"/>
    <w:unhideWhenUsed/>
    <w:qFormat/>
    <w:uiPriority w:val="99"/>
    <w:rPr>
      <w:color w:val="0000FF"/>
      <w:u w:val="single"/>
    </w:rPr>
  </w:style>
  <w:style w:type="character" w:styleId="21">
    <w:name w:val="annotation reference"/>
    <w:basedOn w:val="16"/>
    <w:semiHidden/>
    <w:unhideWhenUsed/>
    <w:qFormat/>
    <w:uiPriority w:val="99"/>
    <w:rPr>
      <w:sz w:val="21"/>
      <w:szCs w:val="21"/>
    </w:rPr>
  </w:style>
  <w:style w:type="character" w:customStyle="1" w:styleId="22">
    <w:name w:val="页眉 字符"/>
    <w:basedOn w:val="16"/>
    <w:link w:val="11"/>
    <w:qFormat/>
    <w:uiPriority w:val="99"/>
    <w:rPr>
      <w:sz w:val="18"/>
      <w:szCs w:val="18"/>
    </w:rPr>
  </w:style>
  <w:style w:type="character" w:customStyle="1" w:styleId="23">
    <w:name w:val="页脚 字符"/>
    <w:basedOn w:val="16"/>
    <w:link w:val="10"/>
    <w:qFormat/>
    <w:uiPriority w:val="99"/>
    <w:rPr>
      <w:sz w:val="18"/>
      <w:szCs w:val="18"/>
    </w:rPr>
  </w:style>
  <w:style w:type="character" w:customStyle="1" w:styleId="24">
    <w:name w:val="HTML 预设格式 字符"/>
    <w:link w:val="13"/>
    <w:qFormat/>
    <w:uiPriority w:val="99"/>
    <w:rPr>
      <w:rFonts w:ascii="Courier New" w:hAnsi="Courier New" w:cs="Courier New"/>
    </w:rPr>
  </w:style>
  <w:style w:type="character" w:customStyle="1" w:styleId="25">
    <w:name w:val="纯文本 字符"/>
    <w:basedOn w:val="16"/>
    <w:link w:val="6"/>
    <w:qFormat/>
    <w:uiPriority w:val="6"/>
    <w:rPr>
      <w:rFonts w:ascii="宋体" w:hAnsi="Courier New" w:eastAsia="宋体" w:cs="Courier New"/>
      <w:szCs w:val="21"/>
    </w:rPr>
  </w:style>
  <w:style w:type="character" w:customStyle="1" w:styleId="26">
    <w:name w:val="HTML 预设格式 Char1"/>
    <w:basedOn w:val="16"/>
    <w:semiHidden/>
    <w:qFormat/>
    <w:uiPriority w:val="99"/>
    <w:rPr>
      <w:rFonts w:ascii="Courier New" w:hAnsi="Courier New" w:eastAsia="宋体" w:cs="Courier New"/>
      <w:sz w:val="20"/>
      <w:szCs w:val="20"/>
    </w:rPr>
  </w:style>
  <w:style w:type="character" w:customStyle="1" w:styleId="27">
    <w:name w:val="正文文本缩进 2 字符"/>
    <w:basedOn w:val="16"/>
    <w:link w:val="8"/>
    <w:semiHidden/>
    <w:qFormat/>
    <w:uiPriority w:val="0"/>
    <w:rPr>
      <w:rFonts w:ascii="仿宋_GB2312" w:hAnsi="Times New Roman" w:eastAsia="仿宋_GB2312" w:cs="Times New Roman"/>
      <w:kern w:val="0"/>
      <w:sz w:val="28"/>
      <w:szCs w:val="20"/>
    </w:rPr>
  </w:style>
  <w:style w:type="paragraph" w:customStyle="1" w:styleId="28">
    <w:name w:val="列表段落1"/>
    <w:basedOn w:val="1"/>
    <w:qFormat/>
    <w:uiPriority w:val="34"/>
    <w:pPr>
      <w:ind w:firstLine="420" w:firstLineChars="200"/>
    </w:pPr>
  </w:style>
  <w:style w:type="character" w:customStyle="1" w:styleId="29">
    <w:name w:val="tpc_content1"/>
    <w:basedOn w:val="16"/>
    <w:qFormat/>
    <w:uiPriority w:val="0"/>
    <w:rPr>
      <w:sz w:val="20"/>
      <w:szCs w:val="20"/>
    </w:rPr>
  </w:style>
  <w:style w:type="character" w:customStyle="1" w:styleId="30">
    <w:name w:val="日期 字符"/>
    <w:basedOn w:val="16"/>
    <w:link w:val="7"/>
    <w:semiHidden/>
    <w:qFormat/>
    <w:uiPriority w:val="0"/>
    <w:rPr>
      <w:rFonts w:ascii="仿宋_GB2312" w:hAnsi="Times New Roman" w:eastAsia="仿宋_GB2312" w:cs="Times New Roman"/>
      <w:kern w:val="0"/>
      <w:sz w:val="28"/>
      <w:szCs w:val="20"/>
    </w:r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4">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5">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font10"/>
    <w:basedOn w:val="1"/>
    <w:qFormat/>
    <w:uiPriority w:val="0"/>
    <w:pPr>
      <w:widowControl/>
      <w:spacing w:before="100" w:beforeAutospacing="1" w:after="100" w:afterAutospacing="1"/>
      <w:jc w:val="left"/>
    </w:pPr>
    <w:rPr>
      <w:kern w:val="0"/>
      <w:sz w:val="24"/>
      <w:szCs w:val="24"/>
    </w:rPr>
  </w:style>
  <w:style w:type="paragraph" w:customStyle="1" w:styleId="3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0">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2">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7">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8">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5">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1">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8">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0">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3">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4">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5">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7">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8">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9">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1">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0">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1">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2">
    <w:name w:val="纯文本 Char1"/>
    <w:qFormat/>
    <w:uiPriority w:val="0"/>
    <w:rPr>
      <w:rFonts w:ascii="宋体" w:hAnsi="Courier New" w:eastAsia="宋体"/>
      <w:kern w:val="2"/>
      <w:sz w:val="24"/>
      <w:szCs w:val="24"/>
      <w:lang w:val="en-US" w:eastAsia="zh-CN" w:bidi="ar-SA"/>
    </w:rPr>
  </w:style>
  <w:style w:type="paragraph" w:customStyle="1" w:styleId="103">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4">
    <w:name w:val="正文文本 字符"/>
    <w:basedOn w:val="16"/>
    <w:link w:val="5"/>
    <w:semiHidden/>
    <w:qFormat/>
    <w:uiPriority w:val="99"/>
    <w:rPr>
      <w:rFonts w:ascii="Times New Roman" w:hAnsi="Times New Roman" w:eastAsia="宋体" w:cs="Times New Roman"/>
      <w:szCs w:val="20"/>
    </w:rPr>
  </w:style>
  <w:style w:type="paragraph" w:customStyle="1" w:styleId="105">
    <w:name w:val="默认段落字体 Para Char Char Char Char Char Char Char Char Char1 Char Char Char Char"/>
    <w:basedOn w:val="1"/>
    <w:qFormat/>
    <w:uiPriority w:val="0"/>
    <w:rPr>
      <w:rFonts w:ascii="Tahoma" w:hAnsi="Tahoma"/>
      <w:sz w:val="24"/>
    </w:rPr>
  </w:style>
  <w:style w:type="character" w:customStyle="1" w:styleId="106">
    <w:name w:val="批注框文本 字符"/>
    <w:basedOn w:val="16"/>
    <w:link w:val="9"/>
    <w:qFormat/>
    <w:uiPriority w:val="0"/>
    <w:rPr>
      <w:rFonts w:ascii="Times New Roman" w:hAnsi="Times New Roman" w:eastAsia="宋体" w:cs="Times New Roman"/>
      <w:sz w:val="18"/>
      <w:szCs w:val="18"/>
    </w:rPr>
  </w:style>
  <w:style w:type="character" w:customStyle="1" w:styleId="107">
    <w:name w:val="标题 2 字符"/>
    <w:basedOn w:val="16"/>
    <w:link w:val="2"/>
    <w:qFormat/>
    <w:uiPriority w:val="0"/>
    <w:rPr>
      <w:rFonts w:ascii="Arial" w:hAnsi="Arial" w:eastAsia="黑体" w:cs="Times New Roman"/>
      <w:b/>
      <w:bCs/>
      <w:sz w:val="32"/>
      <w:szCs w:val="32"/>
    </w:rPr>
  </w:style>
  <w:style w:type="character" w:customStyle="1" w:styleId="108">
    <w:name w:val="正文文本 2 字符"/>
    <w:basedOn w:val="16"/>
    <w:link w:val="12"/>
    <w:qFormat/>
    <w:uiPriority w:val="0"/>
    <w:rPr>
      <w:rFonts w:ascii="Times New Roman" w:hAnsi="Times New Roman" w:eastAsia="宋体" w:cs="Times New Roman"/>
      <w:szCs w:val="24"/>
    </w:rPr>
  </w:style>
  <w:style w:type="character" w:customStyle="1" w:styleId="109">
    <w:name w:val="纯文本 Char2"/>
    <w:qFormat/>
    <w:uiPriority w:val="99"/>
    <w:rPr>
      <w:rFonts w:ascii="宋体" w:hAnsi="Courier New" w:eastAsia="宋体"/>
      <w:kern w:val="2"/>
      <w:sz w:val="21"/>
      <w:lang w:val="en-US" w:eastAsia="zh-CN" w:bidi="ar-SA"/>
    </w:rPr>
  </w:style>
  <w:style w:type="character" w:customStyle="1" w:styleId="110">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7620</Words>
  <Characters>8029</Characters>
  <Lines>68</Lines>
  <Paragraphs>19</Paragraphs>
  <TotalTime>16</TotalTime>
  <ScaleCrop>false</ScaleCrop>
  <LinksUpToDate>false</LinksUpToDate>
  <CharactersWithSpaces>9241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2014-10-30T18:25:00Z</dcterms:created>
  <dc:creator>lenovo</dc:creator>
  <cp:lastModifiedBy>好男儿应自强</cp:lastModifiedBy>
  <cp:lastPrinted>2015-07-08T23:44:00Z</cp:lastPrinted>
  <dcterms:modified xsi:type="dcterms:W3CDTF">2022-10-28T07:34:58Z</dcterms:modified>
  <cp:revision>762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ED6949D5CFDD43578D455B62361B21AB</vt:lpwstr>
  </property>
</Properties>
</file>