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spacing w:after="240" w:line="360" w:lineRule="auto"/>
        <w:ind w:left="0" w:leftChars="0" w:firstLine="482" w:firstLineChars="200"/>
        <w:jc w:val="center"/>
        <w:outlineLvl w:val="2"/>
        <w:rPr>
          <w:rFonts w:hint="eastAsia" w:ascii="宋体" w:hAnsi="宋体" w:eastAsia="宋体" w:cs="宋体"/>
          <w:b/>
          <w:bCs/>
          <w:sz w:val="24"/>
          <w:szCs w:val="24"/>
        </w:rPr>
      </w:pPr>
      <w:bookmarkStart w:id="0" w:name="_bookmark2"/>
      <w:bookmarkEnd w:id="0"/>
      <w:bookmarkStart w:id="1" w:name="第三部分_采购需求"/>
      <w:bookmarkEnd w:id="1"/>
      <w:bookmarkStart w:id="2" w:name="七___中标人的确定"/>
      <w:bookmarkEnd w:id="2"/>
      <w:r>
        <w:rPr>
          <w:rFonts w:hint="eastAsia" w:ascii="宋体" w:hAnsi="宋体" w:eastAsia="宋体" w:cs="宋体"/>
          <w:b/>
          <w:bCs/>
          <w:sz w:val="24"/>
          <w:szCs w:val="24"/>
        </w:rPr>
        <w:t>评分细则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984"/>
        <w:gridCol w:w="6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510" w:type="dxa"/>
            <w:gridSpan w:val="2"/>
            <w:tcBorders>
              <w:tl2br w:val="single" w:color="auto" w:sz="4" w:space="0"/>
            </w:tcBorders>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细则</w:t>
            </w:r>
          </w:p>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 xml:space="preserve">项目               </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center"/>
              <w:outlineLvl w:val="2"/>
              <w:rPr>
                <w:rFonts w:hint="eastAsia" w:ascii="宋体" w:hAnsi="宋体" w:eastAsia="宋体" w:cs="宋体"/>
                <w:b/>
                <w:bCs/>
                <w:sz w:val="24"/>
                <w:szCs w:val="24"/>
              </w:rPr>
            </w:pPr>
            <w:r>
              <w:rPr>
                <w:rFonts w:hint="eastAsia" w:ascii="宋体" w:hAnsi="宋体" w:eastAsia="宋体" w:cs="宋体"/>
                <w:b/>
                <w:bCs/>
                <w:sz w:val="24"/>
                <w:szCs w:val="24"/>
              </w:rPr>
              <w:t>分值细则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gridSpan w:val="2"/>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center"/>
              <w:outlineLvl w:val="2"/>
              <w:rPr>
                <w:rFonts w:hint="eastAsia" w:ascii="宋体" w:hAnsi="宋体" w:eastAsia="宋体" w:cs="宋体"/>
                <w:b/>
                <w:bCs/>
                <w:sz w:val="24"/>
                <w:szCs w:val="24"/>
              </w:rPr>
            </w:pPr>
            <w:r>
              <w:rPr>
                <w:rFonts w:hint="eastAsia" w:ascii="宋体" w:hAnsi="宋体" w:eastAsia="宋体" w:cs="宋体"/>
                <w:b/>
                <w:bCs/>
                <w:sz w:val="24"/>
                <w:szCs w:val="24"/>
              </w:rPr>
              <w:t>价  格  分</w:t>
            </w:r>
          </w:p>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center"/>
              <w:outlineLvl w:val="2"/>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0分）</w:t>
            </w:r>
          </w:p>
        </w:tc>
        <w:tc>
          <w:tcPr>
            <w:tcW w:w="6776" w:type="dxa"/>
            <w:vAlign w:val="center"/>
          </w:tcPr>
          <w:p>
            <w:pPr>
              <w:keepNext w:val="0"/>
              <w:keepLines w:val="0"/>
              <w:pageBreakBefore w:val="0"/>
              <w:kinsoku/>
              <w:wordWrap/>
              <w:overflowPunct/>
              <w:topLinePunct w:val="0"/>
              <w:bidi w:val="0"/>
              <w:adjustRightInd w:val="0"/>
              <w:snapToGrid/>
              <w:spacing w:before="45" w:line="360" w:lineRule="auto"/>
              <w:ind w:left="0" w:leftChars="0" w:right="-15"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价格分采用低价优先法计算，即满足招标文件要求且响应价格最低的响应报价为评标基准价，其价格分为满分。其他供应商的价格分统一按下列公式计算：响应报价得分=（评标基准价/响应报价）×</w:t>
            </w:r>
            <w:r>
              <w:rPr>
                <w:rFonts w:hint="eastAsia" w:ascii="宋体" w:hAnsi="宋体" w:eastAsia="宋体" w:cs="宋体"/>
                <w:sz w:val="24"/>
                <w:szCs w:val="24"/>
                <w:lang w:val="en-US" w:eastAsia="zh-CN"/>
              </w:rPr>
              <w:t>2</w:t>
            </w:r>
            <w:r>
              <w:rPr>
                <w:rFonts w:hint="eastAsia" w:ascii="宋体" w:hAnsi="宋体" w:eastAsia="宋体" w:cs="宋体"/>
                <w:sz w:val="24"/>
                <w:szCs w:val="24"/>
              </w:rPr>
              <w:t>0%×100</w:t>
            </w:r>
          </w:p>
          <w:p>
            <w:pPr>
              <w:keepNext w:val="0"/>
              <w:keepLines w:val="0"/>
              <w:pageBreakBefore w:val="0"/>
              <w:kinsoku/>
              <w:wordWrap/>
              <w:overflowPunct/>
              <w:topLinePunct w:val="0"/>
              <w:bidi w:val="0"/>
              <w:adjustRightInd w:val="0"/>
              <w:snapToGrid/>
              <w:spacing w:before="45" w:line="360" w:lineRule="auto"/>
              <w:ind w:left="0" w:leftChars="0" w:right="-15" w:firstLine="458" w:firstLineChars="200"/>
              <w:jc w:val="both"/>
              <w:outlineLvl w:val="2"/>
              <w:rPr>
                <w:rFonts w:hint="eastAsia" w:ascii="宋体" w:hAnsi="宋体" w:eastAsia="宋体" w:cs="宋体"/>
                <w:b/>
                <w:w w:val="95"/>
                <w:sz w:val="24"/>
                <w:szCs w:val="24"/>
              </w:rPr>
            </w:pPr>
            <w:r>
              <w:rPr>
                <w:rFonts w:hint="eastAsia" w:ascii="宋体" w:hAnsi="宋体" w:eastAsia="宋体" w:cs="宋体"/>
                <w:b/>
                <w:w w:val="95"/>
                <w:sz w:val="24"/>
                <w:szCs w:val="24"/>
              </w:rPr>
              <w:t xml:space="preserve">注： </w:t>
            </w:r>
          </w:p>
          <w:p>
            <w:pPr>
              <w:keepNext w:val="0"/>
              <w:keepLines w:val="0"/>
              <w:pageBreakBefore w:val="0"/>
              <w:kinsoku/>
              <w:wordWrap/>
              <w:overflowPunct/>
              <w:topLinePunct w:val="0"/>
              <w:autoSpaceDE/>
              <w:autoSpaceDN/>
              <w:bidi w:val="0"/>
              <w:adjustRightInd w:val="0"/>
              <w:snapToGrid/>
              <w:spacing w:line="360" w:lineRule="auto"/>
              <w:ind w:left="0" w:leftChars="0" w:firstLine="482" w:firstLineChars="200"/>
              <w:jc w:val="both"/>
              <w:outlineLvl w:val="2"/>
              <w:rPr>
                <w:rFonts w:hint="eastAsia" w:ascii="宋体" w:hAnsi="宋体" w:eastAsia="宋体" w:cs="宋体"/>
                <w:b/>
                <w:sz w:val="24"/>
                <w:szCs w:val="24"/>
              </w:rPr>
            </w:pPr>
            <w:r>
              <w:rPr>
                <w:rFonts w:hint="eastAsia" w:ascii="宋体" w:hAnsi="宋体" w:eastAsia="宋体" w:cs="宋体"/>
                <w:b/>
                <w:sz w:val="24"/>
                <w:szCs w:val="24"/>
              </w:rPr>
              <w:t xml:space="preserve">1.本项目控制价为人民币 </w:t>
            </w:r>
            <w:r>
              <w:rPr>
                <w:rFonts w:hint="eastAsia" w:ascii="宋体" w:hAnsi="宋体" w:eastAsia="宋体" w:cs="宋体"/>
                <w:b/>
                <w:sz w:val="24"/>
                <w:szCs w:val="24"/>
                <w:lang w:val="en-US" w:eastAsia="zh-CN"/>
              </w:rPr>
              <w:t>225</w:t>
            </w:r>
            <w:r>
              <w:rPr>
                <w:rFonts w:hint="eastAsia" w:ascii="宋体" w:hAnsi="宋体" w:eastAsia="宋体" w:cs="宋体"/>
                <w:b/>
                <w:sz w:val="24"/>
                <w:szCs w:val="24"/>
              </w:rPr>
              <w:t xml:space="preserve"> 万元。供应商的报价不得超过此限价，否则将作无效投标处理。</w:t>
            </w:r>
          </w:p>
          <w:p>
            <w:pPr>
              <w:keepNext w:val="0"/>
              <w:keepLines w:val="0"/>
              <w:pageBreakBefore w:val="0"/>
              <w:tabs>
                <w:tab w:val="left" w:pos="6832"/>
              </w:tabs>
              <w:kinsoku/>
              <w:wordWrap/>
              <w:overflowPunct/>
              <w:topLinePunct w:val="0"/>
              <w:bidi w:val="0"/>
              <w:adjustRightInd w:val="0"/>
              <w:snapToGrid/>
              <w:spacing w:line="360" w:lineRule="auto"/>
              <w:ind w:left="0" w:leftChars="0" w:firstLine="478" w:firstLineChars="200"/>
              <w:jc w:val="both"/>
              <w:outlineLvl w:val="2"/>
              <w:rPr>
                <w:rFonts w:hint="eastAsia" w:ascii="宋体" w:hAnsi="宋体" w:eastAsia="宋体" w:cs="宋体"/>
                <w:sz w:val="24"/>
                <w:szCs w:val="24"/>
              </w:rPr>
            </w:pPr>
            <w:r>
              <w:rPr>
                <w:rFonts w:hint="eastAsia" w:ascii="宋体" w:hAnsi="宋体" w:eastAsia="宋体" w:cs="宋体"/>
                <w:b/>
                <w:spacing w:val="-1"/>
                <w:sz w:val="24"/>
                <w:szCs w:val="24"/>
              </w:rPr>
              <w:t>2.评标委员会认为投标人的报价明显低于其他通过符合性审查投标人的报价，有可能影响服务质量或者不能诚信履约的，应当要求其在评标现场合理的时间内提供书面说明，必要时提交相关证明材料；投标人</w:t>
            </w:r>
            <w:r>
              <w:rPr>
                <w:rFonts w:hint="eastAsia" w:ascii="宋体" w:hAnsi="宋体" w:eastAsia="宋体" w:cs="宋体"/>
                <w:b/>
                <w:sz w:val="24"/>
                <w:szCs w:val="24"/>
              </w:rPr>
              <w:t>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restart"/>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技术分（</w:t>
            </w:r>
            <w:r>
              <w:rPr>
                <w:rFonts w:hint="eastAsia" w:cs="宋体"/>
                <w:b/>
                <w:bCs/>
                <w:sz w:val="24"/>
                <w:szCs w:val="24"/>
                <w:lang w:val="en-US" w:eastAsia="zh-CN"/>
              </w:rPr>
              <w:t>60</w:t>
            </w:r>
            <w:r>
              <w:rPr>
                <w:rFonts w:hint="eastAsia" w:ascii="宋体" w:hAnsi="宋体" w:eastAsia="宋体" w:cs="宋体"/>
                <w:b/>
                <w:bCs/>
                <w:sz w:val="24"/>
                <w:szCs w:val="24"/>
              </w:rPr>
              <w:t>）</w:t>
            </w:r>
          </w:p>
        </w:tc>
        <w:tc>
          <w:tcPr>
            <w:tcW w:w="1984" w:type="dxa"/>
            <w:vMerge w:val="restart"/>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保洁服务总体方案（</w:t>
            </w:r>
            <w:r>
              <w:rPr>
                <w:rFonts w:hint="eastAsia" w:cs="宋体"/>
                <w:b/>
                <w:bCs/>
                <w:sz w:val="24"/>
                <w:szCs w:val="24"/>
                <w:lang w:val="en-US" w:eastAsia="zh-CN"/>
              </w:rPr>
              <w:t>16</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保洁服务总体管理模式。[0-</w:t>
            </w:r>
            <w:r>
              <w:rPr>
                <w:rFonts w:hint="eastAsia" w:cs="宋体"/>
                <w:sz w:val="24"/>
                <w:szCs w:val="24"/>
                <w:lang w:val="en-US" w:eastAsia="zh-CN"/>
              </w:rPr>
              <w:t>2</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设立明确管理目标，标准管理和具体的工作组织实施方案等。[0-2]分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投标人提供保洁服务的项目监管措施。[0-2]分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投标人提供院区室内保洁实施方案。[0-</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投标人提供院区外围保洁实施方案。[0-</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投标人提供院区专项保洁实施方案。[0-</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p>
        </w:tc>
        <w:tc>
          <w:tcPr>
            <w:tcW w:w="6776" w:type="dxa"/>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投标人提供</w:t>
            </w:r>
            <w:r>
              <w:rPr>
                <w:rFonts w:hint="eastAsia" w:ascii="宋体" w:hAnsi="宋体" w:eastAsia="宋体" w:cs="宋体"/>
                <w:sz w:val="24"/>
                <w:szCs w:val="24"/>
              </w:rPr>
              <w:t>清洁设备消毒、保管方案：根据投标人对本项目的拖把、抹布统一清洗消毒管理承诺及落实措施。[0-</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p>
        </w:tc>
        <w:tc>
          <w:tcPr>
            <w:tcW w:w="6776" w:type="dxa"/>
            <w:vAlign w:val="center"/>
          </w:tcPr>
          <w:p>
            <w:pPr>
              <w:keepNext w:val="0"/>
              <w:keepLines w:val="0"/>
              <w:pageBreakBefore w:val="0"/>
              <w:kinsoku/>
              <w:wordWrap/>
              <w:overflowPunct/>
              <w:topLinePunct w:val="0"/>
              <w:bidi w:val="0"/>
              <w:adjustRightInd w:val="0"/>
              <w:snapToGrid/>
              <w:spacing w:line="360" w:lineRule="auto"/>
              <w:ind w:left="0" w:leftChars="0"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投标人提供全院医疗废物、生活垃圾清运方案</w:t>
            </w:r>
            <w:r>
              <w:rPr>
                <w:rFonts w:hint="eastAsia" w:ascii="宋体" w:hAnsi="宋体" w:eastAsia="宋体" w:cs="宋体"/>
                <w:sz w:val="24"/>
                <w:szCs w:val="24"/>
              </w:rPr>
              <w:t>[0-</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院感、质控方案（</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针对投标人在服务本项目过程中提供的防止交叉感染、消毒隔离措施</w:t>
            </w:r>
            <w:r>
              <w:rPr>
                <w:rFonts w:hint="eastAsia" w:ascii="宋体" w:hAnsi="宋体" w:eastAsia="宋体" w:cs="宋体"/>
                <w:sz w:val="24"/>
                <w:szCs w:val="24"/>
                <w:lang w:eastAsia="zh-CN"/>
              </w:rPr>
              <w:t>、</w:t>
            </w:r>
            <w:r>
              <w:rPr>
                <w:rFonts w:hint="eastAsia" w:ascii="宋体" w:hAnsi="宋体" w:eastAsia="宋体" w:cs="宋体"/>
                <w:b w:val="0"/>
                <w:bCs w:val="0"/>
                <w:sz w:val="24"/>
                <w:szCs w:val="24"/>
              </w:rPr>
              <w:t>职业暴露处置等医</w:t>
            </w:r>
            <w:r>
              <w:rPr>
                <w:rFonts w:hint="eastAsia" w:ascii="宋体" w:hAnsi="宋体" w:eastAsia="宋体" w:cs="宋体"/>
                <w:sz w:val="24"/>
                <w:szCs w:val="24"/>
              </w:rPr>
              <w:t>院感染控制方案由评委进行打分:方案完整、详细、具体、可行性强的</w:t>
            </w:r>
            <w:r>
              <w:rPr>
                <w:rFonts w:hint="eastAsia" w:ascii="宋体" w:hAnsi="宋体" w:eastAsia="宋体" w:cs="宋体"/>
                <w:sz w:val="24"/>
                <w:szCs w:val="24"/>
                <w:lang w:val="en-US" w:eastAsia="zh-CN"/>
              </w:rPr>
              <w:t>3</w:t>
            </w:r>
            <w:r>
              <w:rPr>
                <w:rFonts w:hint="eastAsia" w:ascii="宋体" w:hAnsi="宋体" w:eastAsia="宋体" w:cs="宋体"/>
                <w:sz w:val="24"/>
                <w:szCs w:val="24"/>
              </w:rPr>
              <w:t>分;方案不够周全详细、具体、完善、可行性一般的得</w:t>
            </w:r>
            <w:r>
              <w:rPr>
                <w:rFonts w:hint="eastAsia" w:ascii="宋体" w:hAnsi="宋体" w:eastAsia="宋体" w:cs="宋体"/>
                <w:sz w:val="24"/>
                <w:szCs w:val="24"/>
                <w:lang w:val="en-US" w:eastAsia="zh-CN"/>
              </w:rPr>
              <w:t>2</w:t>
            </w:r>
            <w:r>
              <w:rPr>
                <w:rFonts w:hint="eastAsia" w:ascii="宋体" w:hAnsi="宋体" w:eastAsia="宋体" w:cs="宋体"/>
                <w:sz w:val="24"/>
                <w:szCs w:val="24"/>
              </w:rPr>
              <w:t>分;方案不周全详细、具体、可行性较差的得</w:t>
            </w:r>
            <w:r>
              <w:rPr>
                <w:rFonts w:hint="eastAsia" w:ascii="宋体" w:hAnsi="宋体" w:eastAsia="宋体" w:cs="宋体"/>
                <w:sz w:val="24"/>
                <w:szCs w:val="24"/>
                <w:lang w:val="en-US" w:eastAsia="zh-CN"/>
              </w:rPr>
              <w:t>1</w:t>
            </w:r>
            <w:r>
              <w:rPr>
                <w:rFonts w:hint="eastAsia" w:ascii="宋体" w:hAnsi="宋体" w:eastAsia="宋体" w:cs="宋体"/>
                <w:sz w:val="24"/>
                <w:szCs w:val="24"/>
              </w:rPr>
              <w:t>分;未提供的不得分。(满分</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考核标准方案（</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投标人提供保洁服务的管理人员及员工的考核内容、标准、方法。由评委进行打分:方案完整、详细、具体、可行性强的</w:t>
            </w:r>
            <w:r>
              <w:rPr>
                <w:rFonts w:hint="eastAsia" w:ascii="宋体" w:hAnsi="宋体" w:eastAsia="宋体" w:cs="宋体"/>
                <w:sz w:val="24"/>
                <w:szCs w:val="24"/>
                <w:lang w:val="en-US" w:eastAsia="zh-CN"/>
              </w:rPr>
              <w:t>3</w:t>
            </w:r>
            <w:r>
              <w:rPr>
                <w:rFonts w:hint="eastAsia" w:ascii="宋体" w:hAnsi="宋体" w:eastAsia="宋体" w:cs="宋体"/>
                <w:sz w:val="24"/>
                <w:szCs w:val="24"/>
              </w:rPr>
              <w:t>分;方案不够周全详细、具体、完善、可行性一般的得</w:t>
            </w:r>
            <w:r>
              <w:rPr>
                <w:rFonts w:hint="eastAsia" w:ascii="宋体" w:hAnsi="宋体" w:eastAsia="宋体" w:cs="宋体"/>
                <w:sz w:val="24"/>
                <w:szCs w:val="24"/>
                <w:lang w:val="en-US" w:eastAsia="zh-CN"/>
              </w:rPr>
              <w:t>2</w:t>
            </w:r>
            <w:r>
              <w:rPr>
                <w:rFonts w:hint="eastAsia" w:ascii="宋体" w:hAnsi="宋体" w:eastAsia="宋体" w:cs="宋体"/>
                <w:sz w:val="24"/>
                <w:szCs w:val="24"/>
              </w:rPr>
              <w:t>分;方案不周全详细、具体、可行性较差的得</w:t>
            </w:r>
            <w:r>
              <w:rPr>
                <w:rFonts w:hint="eastAsia" w:ascii="宋体" w:hAnsi="宋体" w:eastAsia="宋体" w:cs="宋体"/>
                <w:sz w:val="24"/>
                <w:szCs w:val="24"/>
                <w:lang w:val="en-US" w:eastAsia="zh-CN"/>
              </w:rPr>
              <w:t>1</w:t>
            </w:r>
            <w:r>
              <w:rPr>
                <w:rFonts w:hint="eastAsia" w:ascii="宋体" w:hAnsi="宋体" w:eastAsia="宋体" w:cs="宋体"/>
                <w:sz w:val="24"/>
                <w:szCs w:val="24"/>
              </w:rPr>
              <w:t>分;未提供的不得分。(满分</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服务人员招录及时性及员工稳定性的措施方案（</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投标人提供服务人员招录及时性及员工稳定性的措施。由评委进行打分:方案完整、详细、具体、可行性强的</w:t>
            </w:r>
            <w:r>
              <w:rPr>
                <w:rFonts w:hint="eastAsia" w:ascii="宋体" w:hAnsi="宋体" w:eastAsia="宋体" w:cs="宋体"/>
                <w:sz w:val="24"/>
                <w:szCs w:val="24"/>
                <w:lang w:val="en-US" w:eastAsia="zh-CN"/>
              </w:rPr>
              <w:t>6-8</w:t>
            </w:r>
            <w:r>
              <w:rPr>
                <w:rFonts w:hint="eastAsia" w:ascii="宋体" w:hAnsi="宋体" w:eastAsia="宋体" w:cs="宋体"/>
                <w:sz w:val="24"/>
                <w:szCs w:val="24"/>
              </w:rPr>
              <w:t>分;方案不够周全详细、具体、完善、可行性一般的得</w:t>
            </w:r>
            <w:r>
              <w:rPr>
                <w:rFonts w:hint="eastAsia" w:ascii="宋体" w:hAnsi="宋体" w:eastAsia="宋体" w:cs="宋体"/>
                <w:sz w:val="24"/>
                <w:szCs w:val="24"/>
                <w:lang w:val="en-US" w:eastAsia="zh-CN"/>
              </w:rPr>
              <w:t>3-5</w:t>
            </w:r>
            <w:r>
              <w:rPr>
                <w:rFonts w:hint="eastAsia" w:ascii="宋体" w:hAnsi="宋体" w:eastAsia="宋体" w:cs="宋体"/>
                <w:sz w:val="24"/>
                <w:szCs w:val="24"/>
              </w:rPr>
              <w:t>分;方案不周全详细、具体、可行性较差的得</w:t>
            </w:r>
            <w:r>
              <w:rPr>
                <w:rFonts w:hint="eastAsia" w:ascii="宋体" w:hAnsi="宋体" w:eastAsia="宋体" w:cs="宋体"/>
                <w:sz w:val="24"/>
                <w:szCs w:val="24"/>
                <w:lang w:val="en-US" w:eastAsia="zh-CN"/>
              </w:rPr>
              <w:t>1-2</w:t>
            </w:r>
            <w:r>
              <w:rPr>
                <w:rFonts w:hint="eastAsia" w:ascii="宋体" w:hAnsi="宋体" w:eastAsia="宋体" w:cs="宋体"/>
                <w:sz w:val="24"/>
                <w:szCs w:val="24"/>
              </w:rPr>
              <w:t>分;未提供的不得分。(满分</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人员培训方案（</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根据投标人提供的人员培训计划，包括保洁服务培训方案、垃圾运送服务培训方案、管理人员培训方案，节假日人员到岗率及稳定员工队伍的服务承诺并提供详细方案，服务标准及与采购人垃圾运送要求符合等方面内容,由评委进行打分:方案详细完整、可操作性强、有针对性的得5-6分;方案基本完整、可操作性一般的得3-4分;方案简单不完整、且可操作性较差的得1-2分;未提供的不得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应急保障措施方案（</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根据投标人提供的重大突发事件处理方案(包含新冠疫情常态化防控实施措施、传染病等措施预案)由评委进行打分:重大突发事件处理方案详细完整可行,流程符合院感防控要求的得</w:t>
            </w:r>
            <w:r>
              <w:rPr>
                <w:rFonts w:hint="eastAsia" w:ascii="宋体" w:hAnsi="宋体" w:eastAsia="宋体" w:cs="宋体"/>
                <w:sz w:val="24"/>
                <w:szCs w:val="24"/>
                <w:lang w:val="en-US" w:eastAsia="zh-CN"/>
              </w:rPr>
              <w:t>3</w:t>
            </w:r>
            <w:r>
              <w:rPr>
                <w:rFonts w:hint="eastAsia" w:ascii="宋体" w:hAnsi="宋体" w:eastAsia="宋体" w:cs="宋体"/>
                <w:sz w:val="24"/>
                <w:szCs w:val="24"/>
              </w:rPr>
              <w:t>分;方案基本详细、部分内容可行,流程符合院感防控要求的得</w:t>
            </w:r>
            <w:r>
              <w:rPr>
                <w:rFonts w:hint="eastAsia" w:ascii="宋体" w:hAnsi="宋体" w:eastAsia="宋体" w:cs="宋体"/>
                <w:sz w:val="24"/>
                <w:szCs w:val="24"/>
                <w:lang w:val="en-US" w:eastAsia="zh-CN"/>
              </w:rPr>
              <w:t>2</w:t>
            </w:r>
            <w:r>
              <w:rPr>
                <w:rFonts w:hint="eastAsia" w:ascii="宋体" w:hAnsi="宋体" w:eastAsia="宋体" w:cs="宋体"/>
                <w:sz w:val="24"/>
                <w:szCs w:val="24"/>
              </w:rPr>
              <w:t>分;方案不够详细、可行性一般的得</w:t>
            </w:r>
            <w:r>
              <w:rPr>
                <w:rFonts w:hint="eastAsia" w:ascii="宋体" w:hAnsi="宋体" w:eastAsia="宋体" w:cs="宋体"/>
                <w:sz w:val="24"/>
                <w:szCs w:val="24"/>
                <w:lang w:val="en-US" w:eastAsia="zh-CN"/>
              </w:rPr>
              <w:t>1</w:t>
            </w:r>
            <w:r>
              <w:rPr>
                <w:rFonts w:hint="eastAsia" w:ascii="宋体" w:hAnsi="宋体" w:eastAsia="宋体" w:cs="宋体"/>
                <w:sz w:val="24"/>
                <w:szCs w:val="24"/>
              </w:rPr>
              <w:t>分未提供新冠疫情常态化防控实施措施、传染病等措施预案本项不得分。(满分</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交接过渡方案（</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根据投标人提供若为本项目中标人,则在合同交接后如何对采购人的范围内的工作方案及合同到期后如何保障完成与下一合同期服务商的进场交接工作(含保洁、运送),由评委打分:提供的方案完整、详细、具体、可行性强的</w:t>
            </w:r>
            <w:r>
              <w:rPr>
                <w:rFonts w:hint="eastAsia" w:ascii="宋体" w:hAnsi="宋体" w:eastAsia="宋体" w:cs="宋体"/>
                <w:sz w:val="24"/>
                <w:szCs w:val="24"/>
                <w:lang w:val="en-US" w:eastAsia="zh-CN"/>
              </w:rPr>
              <w:t>6-8</w:t>
            </w:r>
            <w:r>
              <w:rPr>
                <w:rFonts w:hint="eastAsia" w:ascii="宋体" w:hAnsi="宋体" w:eastAsia="宋体" w:cs="宋体"/>
                <w:sz w:val="24"/>
                <w:szCs w:val="24"/>
              </w:rPr>
              <w:t>分;提供的方案不够周全详细、具体、完善、可行性一般的得</w:t>
            </w:r>
            <w:r>
              <w:rPr>
                <w:rFonts w:hint="eastAsia" w:ascii="宋体" w:hAnsi="宋体" w:eastAsia="宋体" w:cs="宋体"/>
                <w:sz w:val="24"/>
                <w:szCs w:val="24"/>
                <w:lang w:val="en-US" w:eastAsia="zh-CN"/>
              </w:rPr>
              <w:t>3-5</w:t>
            </w:r>
            <w:r>
              <w:rPr>
                <w:rFonts w:hint="eastAsia" w:ascii="宋体" w:hAnsi="宋体" w:eastAsia="宋体" w:cs="宋体"/>
                <w:sz w:val="24"/>
                <w:szCs w:val="24"/>
              </w:rPr>
              <w:t>分;提供的方案不周全详细、具体、可行性较差的得</w:t>
            </w:r>
            <w:r>
              <w:rPr>
                <w:rFonts w:hint="eastAsia" w:ascii="宋体" w:hAnsi="宋体" w:eastAsia="宋体" w:cs="宋体"/>
                <w:sz w:val="24"/>
                <w:szCs w:val="24"/>
                <w:lang w:val="en-US" w:eastAsia="zh-CN"/>
              </w:rPr>
              <w:t>1-2</w:t>
            </w:r>
            <w:r>
              <w:rPr>
                <w:rFonts w:hint="eastAsia" w:ascii="宋体" w:hAnsi="宋体" w:eastAsia="宋体" w:cs="宋体"/>
                <w:sz w:val="24"/>
                <w:szCs w:val="24"/>
              </w:rPr>
              <w:t>分;未提供的不得分。(满分</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highlight w:val="yellow"/>
              </w:rPr>
            </w:pPr>
            <w:r>
              <w:rPr>
                <w:rFonts w:hint="eastAsia" w:ascii="宋体" w:hAnsi="宋体" w:eastAsia="宋体" w:cs="宋体"/>
                <w:b/>
                <w:bCs/>
                <w:sz w:val="24"/>
                <w:szCs w:val="24"/>
              </w:rPr>
              <w:t>设备工具（</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highlight w:val="yellow"/>
              </w:rPr>
            </w:pPr>
            <w:r>
              <w:rPr>
                <w:rFonts w:hint="eastAsia" w:ascii="宋体" w:hAnsi="宋体" w:eastAsia="宋体" w:cs="宋体"/>
                <w:sz w:val="24"/>
                <w:szCs w:val="24"/>
              </w:rPr>
              <w:t>根据投标人针对本项目制定的物资配备及管理方案(包含但不限于投入的物资(含耗材)配备、品牌型号规格数量等情况)由评委进行打分:方案详细、具体、可行性强的</w:t>
            </w:r>
            <w:r>
              <w:rPr>
                <w:rFonts w:hint="eastAsia" w:ascii="宋体" w:hAnsi="宋体" w:eastAsia="宋体" w:cs="宋体"/>
                <w:sz w:val="24"/>
                <w:szCs w:val="24"/>
                <w:lang w:val="en-US" w:eastAsia="zh-CN"/>
              </w:rPr>
              <w:t>3</w:t>
            </w:r>
            <w:r>
              <w:rPr>
                <w:rFonts w:hint="eastAsia" w:ascii="宋体" w:hAnsi="宋体" w:eastAsia="宋体" w:cs="宋体"/>
                <w:sz w:val="24"/>
                <w:szCs w:val="24"/>
              </w:rPr>
              <w:t>分;方案不够周全详细、具体、可行性一般的得</w:t>
            </w:r>
            <w:r>
              <w:rPr>
                <w:rFonts w:hint="eastAsia" w:ascii="宋体" w:hAnsi="宋体" w:eastAsia="宋体" w:cs="宋体"/>
                <w:sz w:val="24"/>
                <w:szCs w:val="24"/>
                <w:lang w:val="en-US" w:eastAsia="zh-CN"/>
              </w:rPr>
              <w:t>2</w:t>
            </w:r>
            <w:r>
              <w:rPr>
                <w:rFonts w:hint="eastAsia" w:ascii="宋体" w:hAnsi="宋体" w:eastAsia="宋体" w:cs="宋体"/>
                <w:sz w:val="24"/>
                <w:szCs w:val="24"/>
              </w:rPr>
              <w:t>分;方案不周全详细、具体、可行性较差的得</w:t>
            </w:r>
            <w:r>
              <w:rPr>
                <w:rFonts w:hint="eastAsia" w:ascii="宋体" w:hAnsi="宋体" w:eastAsia="宋体" w:cs="宋体"/>
                <w:sz w:val="24"/>
                <w:szCs w:val="24"/>
                <w:lang w:val="en-US" w:eastAsia="zh-CN"/>
              </w:rPr>
              <w:t>1</w:t>
            </w:r>
            <w:r>
              <w:rPr>
                <w:rFonts w:hint="eastAsia" w:ascii="宋体" w:hAnsi="宋体" w:eastAsia="宋体" w:cs="宋体"/>
                <w:sz w:val="24"/>
                <w:szCs w:val="24"/>
              </w:rPr>
              <w:t>分:未提供的不得分。(满分</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服务人员测量方案（</w:t>
            </w:r>
            <w:r>
              <w:rPr>
                <w:rFonts w:hint="eastAsia" w:cs="宋体"/>
                <w:b/>
                <w:bCs/>
                <w:sz w:val="24"/>
                <w:szCs w:val="24"/>
                <w:lang w:val="en-US" w:eastAsia="zh-CN"/>
              </w:rPr>
              <w:t>10</w:t>
            </w:r>
            <w:bookmarkStart w:id="3" w:name="_GoBack"/>
            <w:bookmarkEnd w:id="3"/>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lang w:val="en-US"/>
              </w:rPr>
            </w:pPr>
            <w:r>
              <w:rPr>
                <w:rFonts w:hint="eastAsia" w:ascii="宋体" w:hAnsi="宋体" w:eastAsia="宋体" w:cs="宋体"/>
                <w:sz w:val="24"/>
                <w:szCs w:val="24"/>
                <w:lang w:val="en-US"/>
              </w:rPr>
              <w:t>投标人自行组织现场勘探，根据采购方楼宇结构和实际情况出具人员测量方案，方案包括每个房间的面积、地面材质、每个房间的洁具、工作频率以及根据这些数据对服务人员分布进行数据分析。</w:t>
            </w:r>
          </w:p>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lang w:val="en-US"/>
              </w:rPr>
            </w:pPr>
            <w:r>
              <w:rPr>
                <w:rFonts w:hint="eastAsia" w:ascii="宋体" w:hAnsi="宋体" w:eastAsia="宋体" w:cs="宋体"/>
                <w:b/>
                <w:bCs/>
                <w:sz w:val="24"/>
                <w:szCs w:val="24"/>
                <w:lang w:val="en-US"/>
              </w:rPr>
              <w:t>评审依据：根据投标人提供的数据，对测量方案及人员分布进行综合比对排序，</w:t>
            </w:r>
            <w:r>
              <w:rPr>
                <w:rFonts w:hint="eastAsia" w:ascii="宋体" w:hAnsi="宋体" w:eastAsia="宋体" w:cs="宋体"/>
                <w:sz w:val="24"/>
                <w:szCs w:val="24"/>
              </w:rPr>
              <w:t>由评委进行打分:方案完整、详细、具体、可行性强的</w:t>
            </w:r>
            <w:r>
              <w:rPr>
                <w:rFonts w:hint="eastAsia" w:cs="宋体"/>
                <w:sz w:val="24"/>
                <w:szCs w:val="24"/>
                <w:lang w:val="en-US" w:eastAsia="zh-CN"/>
              </w:rPr>
              <w:t>7-10</w:t>
            </w:r>
            <w:r>
              <w:rPr>
                <w:rFonts w:hint="eastAsia" w:ascii="宋体" w:hAnsi="宋体" w:eastAsia="宋体" w:cs="宋体"/>
                <w:sz w:val="24"/>
                <w:szCs w:val="24"/>
              </w:rPr>
              <w:t>分;方案不够周全详细、具体、完善、可行性一般的得</w:t>
            </w:r>
            <w:r>
              <w:rPr>
                <w:rFonts w:hint="eastAsia" w:cs="宋体"/>
                <w:sz w:val="24"/>
                <w:szCs w:val="24"/>
                <w:lang w:val="en-US" w:eastAsia="zh-CN"/>
              </w:rPr>
              <w:t>4-6</w:t>
            </w:r>
            <w:r>
              <w:rPr>
                <w:rFonts w:hint="eastAsia" w:ascii="宋体" w:hAnsi="宋体" w:eastAsia="宋体" w:cs="宋体"/>
                <w:sz w:val="24"/>
                <w:szCs w:val="24"/>
              </w:rPr>
              <w:t>分;方案不周全详细、具体、可行性较差的得</w:t>
            </w:r>
            <w:r>
              <w:rPr>
                <w:rFonts w:hint="eastAsia" w:ascii="宋体" w:hAnsi="宋体" w:eastAsia="宋体" w:cs="宋体"/>
                <w:sz w:val="24"/>
                <w:szCs w:val="24"/>
                <w:lang w:val="en-US" w:eastAsia="zh-CN"/>
              </w:rPr>
              <w:t>1-</w:t>
            </w:r>
            <w:r>
              <w:rPr>
                <w:rFonts w:hint="eastAsia" w:cs="宋体"/>
                <w:sz w:val="24"/>
                <w:szCs w:val="24"/>
                <w:lang w:val="en-US" w:eastAsia="zh-CN"/>
              </w:rPr>
              <w:t>3</w:t>
            </w:r>
            <w:r>
              <w:rPr>
                <w:rFonts w:hint="eastAsia" w:ascii="宋体" w:hAnsi="宋体" w:eastAsia="宋体" w:cs="宋体"/>
                <w:sz w:val="24"/>
                <w:szCs w:val="24"/>
              </w:rPr>
              <w:t>分;未提供的不得分。(满分</w:t>
            </w:r>
            <w:r>
              <w:rPr>
                <w:rFonts w:hint="eastAsia" w:cs="宋体"/>
                <w:sz w:val="24"/>
                <w:szCs w:val="24"/>
                <w:lang w:val="en-US" w:eastAsia="zh-CN"/>
              </w:rPr>
              <w:t>10</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restart"/>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商务分（</w:t>
            </w:r>
            <w:r>
              <w:rPr>
                <w:rFonts w:hint="eastAsia" w:cs="宋体"/>
                <w:b/>
                <w:bCs/>
                <w:sz w:val="24"/>
                <w:szCs w:val="24"/>
                <w:lang w:val="en-US" w:eastAsia="zh-CN"/>
              </w:rPr>
              <w:t>20</w:t>
            </w:r>
            <w:r>
              <w:rPr>
                <w:rFonts w:hint="eastAsia" w:ascii="宋体" w:hAnsi="宋体" w:eastAsia="宋体" w:cs="宋体"/>
                <w:b/>
                <w:bCs/>
                <w:sz w:val="24"/>
                <w:szCs w:val="24"/>
              </w:rPr>
              <w:t>）</w:t>
            </w:r>
          </w:p>
        </w:tc>
        <w:tc>
          <w:tcPr>
            <w:tcW w:w="1984"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center"/>
              <w:outlineLvl w:val="2"/>
              <w:rPr>
                <w:rFonts w:hint="eastAsia" w:ascii="宋体" w:hAnsi="宋体" w:eastAsia="宋体" w:cs="宋体"/>
                <w:b/>
                <w:bCs/>
                <w:sz w:val="24"/>
                <w:szCs w:val="24"/>
              </w:rPr>
            </w:pPr>
            <w:r>
              <w:rPr>
                <w:rFonts w:hint="eastAsia" w:ascii="宋体" w:hAnsi="宋体" w:eastAsia="宋体" w:cs="宋体"/>
                <w:b/>
                <w:bCs/>
                <w:sz w:val="24"/>
                <w:szCs w:val="24"/>
              </w:rPr>
              <w:t>企业资信</w:t>
            </w:r>
          </w:p>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center"/>
              <w:outlineLvl w:val="2"/>
              <w:rPr>
                <w:rFonts w:hint="eastAsia" w:ascii="宋体" w:hAnsi="宋体" w:eastAsia="宋体" w:cs="宋体"/>
                <w:sz w:val="24"/>
                <w:szCs w:val="24"/>
              </w:rPr>
            </w:pPr>
            <w:r>
              <w:rPr>
                <w:rFonts w:hint="eastAsia" w:ascii="宋体" w:hAnsi="宋体" w:eastAsia="宋体" w:cs="宋体"/>
                <w:b/>
                <w:bCs/>
                <w:sz w:val="24"/>
                <w:szCs w:val="24"/>
              </w:rPr>
              <w:t>（</w:t>
            </w:r>
            <w:r>
              <w:rPr>
                <w:rFonts w:hint="eastAsia" w:cs="宋体"/>
                <w:b/>
                <w:bCs/>
                <w:sz w:val="24"/>
                <w:szCs w:val="24"/>
                <w:lang w:val="en-US" w:eastAsia="zh-CN"/>
              </w:rPr>
              <w:t>3</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lang w:val="en-US"/>
              </w:rPr>
            </w:pPr>
            <w:r>
              <w:rPr>
                <w:rFonts w:hint="eastAsia" w:ascii="宋体" w:hAnsi="宋体" w:eastAsia="宋体" w:cs="宋体"/>
                <w:sz w:val="24"/>
                <w:szCs w:val="24"/>
                <w:lang w:val="en-US"/>
              </w:rPr>
              <w:t>1、具有有效的ISO9001质量管理体系认证证书得1分；</w:t>
            </w:r>
          </w:p>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lang w:val="en-US"/>
              </w:rPr>
            </w:pPr>
            <w:r>
              <w:rPr>
                <w:rFonts w:hint="eastAsia" w:ascii="宋体" w:hAnsi="宋体" w:eastAsia="宋体" w:cs="宋体"/>
                <w:sz w:val="24"/>
                <w:szCs w:val="24"/>
                <w:lang w:val="en-US"/>
              </w:rPr>
              <w:t>2、具有有效的ISO14001环境管理体系认证证书得1分；</w:t>
            </w:r>
          </w:p>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lang w:val="en-US"/>
              </w:rPr>
            </w:pPr>
            <w:r>
              <w:rPr>
                <w:rFonts w:hint="eastAsia" w:ascii="宋体" w:hAnsi="宋体" w:eastAsia="宋体" w:cs="宋体"/>
                <w:sz w:val="24"/>
                <w:szCs w:val="24"/>
                <w:lang w:val="en-US"/>
              </w:rPr>
              <w:t>3、具有有效的OHSAS18001或ISO45001职业健康安全管理体系认证证书得1分；</w:t>
            </w:r>
          </w:p>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lang w:val="en-US"/>
              </w:rPr>
            </w:pPr>
            <w:r>
              <w:rPr>
                <w:rFonts w:hint="eastAsia" w:ascii="宋体" w:hAnsi="宋体" w:eastAsia="宋体" w:cs="宋体"/>
                <w:b/>
                <w:bCs/>
                <w:sz w:val="24"/>
                <w:szCs w:val="24"/>
                <w:lang w:val="en-US"/>
              </w:rPr>
              <w:t>评审依据：证书必须在有效期内，并且在《国家认证认可监督管理委员会》网站可查的。提供证书证明，未提供不得分。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kinsoku/>
              <w:wordWrap/>
              <w:overflowPunct/>
              <w:topLinePunct w:val="0"/>
              <w:bidi w:val="0"/>
              <w:adjustRightInd w:val="0"/>
              <w:snapToGrid/>
              <w:spacing w:line="360" w:lineRule="auto"/>
              <w:ind w:left="0" w:leftChars="0"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管理团队及项目配置（</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b/>
                <w:bCs/>
                <w:sz w:val="24"/>
                <w:szCs w:val="24"/>
                <w:lang w:val="en-US"/>
              </w:rPr>
            </w:pPr>
            <w:r>
              <w:rPr>
                <w:rFonts w:hint="eastAsia" w:ascii="宋体" w:hAnsi="宋体" w:eastAsia="宋体" w:cs="宋体"/>
                <w:sz w:val="24"/>
                <w:szCs w:val="24"/>
              </w:rPr>
              <w:t>投标人针对本项目拟派驻的项目负责人具有以下要求。1、具有物业管理上岗证或物业经理证书;2、服务过三级医院的物业服务管理经验;3、全日制大专及以上。评审依据: 每项各</w:t>
            </w:r>
            <w:r>
              <w:rPr>
                <w:rFonts w:hint="eastAsia" w:ascii="宋体" w:hAnsi="宋体" w:eastAsia="宋体" w:cs="宋体"/>
                <w:sz w:val="24"/>
                <w:szCs w:val="24"/>
                <w:lang w:val="en-US" w:eastAsia="zh-CN"/>
              </w:rPr>
              <w:t>1</w:t>
            </w:r>
            <w:r>
              <w:rPr>
                <w:rFonts w:hint="eastAsia" w:ascii="宋体" w:hAnsi="宋体" w:eastAsia="宋体" w:cs="宋体"/>
                <w:sz w:val="24"/>
                <w:szCs w:val="24"/>
              </w:rPr>
              <w:t>分，须提供岗位证书、医院证明及投标人为其缴纳的近6个月社保证明材料,否则不得分。</w:t>
            </w:r>
            <w:r>
              <w:rPr>
                <w:rFonts w:hint="eastAsia" w:ascii="宋体" w:hAnsi="宋体" w:eastAsia="宋体" w:cs="宋体"/>
                <w:bCs/>
                <w:kern w:val="0"/>
                <w:sz w:val="24"/>
                <w:szCs w:val="24"/>
                <w:lang w:val="zh-CN"/>
              </w:rPr>
              <w:t>提供详细的岗位人员配备表且人员配备完全满足招标文件要求，所有岗位不缺编，附组织架构图，并详述各岗位职责，全部符合者得</w:t>
            </w:r>
            <w:r>
              <w:rPr>
                <w:rFonts w:hint="eastAsia" w:ascii="宋体" w:hAnsi="宋体" w:eastAsia="宋体" w:cs="宋体"/>
                <w:bCs/>
                <w:kern w:val="0"/>
                <w:sz w:val="24"/>
                <w:szCs w:val="24"/>
                <w:lang w:val="en-US" w:eastAsia="zh-CN"/>
              </w:rPr>
              <w:t>2</w:t>
            </w:r>
            <w:r>
              <w:rPr>
                <w:rFonts w:hint="eastAsia" w:ascii="宋体" w:hAnsi="宋体" w:eastAsia="宋体" w:cs="宋体"/>
                <w:bCs/>
                <w:kern w:val="0"/>
                <w:sz w:val="24"/>
                <w:szCs w:val="24"/>
                <w:lang w:val="zh-CN"/>
              </w:rPr>
              <w:t>分</w:t>
            </w:r>
            <w:r>
              <w:rPr>
                <w:rFonts w:hint="eastAsia" w:ascii="宋体" w:hAnsi="宋体" w:eastAsia="宋体" w:cs="宋体"/>
                <w:b/>
                <w:bCs/>
                <w:sz w:val="24"/>
                <w:szCs w:val="24"/>
                <w:lang w:val="en-US"/>
              </w:rPr>
              <w:t>评审依据：提供相关服务证明材料和医院等级证明材料及毕业证复印件并加盖公章，未提供不得分。</w:t>
            </w:r>
          </w:p>
          <w:p>
            <w:pPr>
              <w:keepNext w:val="0"/>
              <w:keepLines w:val="0"/>
              <w:pageBreakBefore w:val="0"/>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sz w:val="24"/>
                <w:szCs w:val="24"/>
                <w:lang w:val="en-US"/>
              </w:rPr>
            </w:pPr>
            <w:r>
              <w:rPr>
                <w:rFonts w:hint="eastAsia" w:ascii="宋体" w:hAnsi="宋体" w:eastAsia="宋体" w:cs="宋体"/>
                <w:b/>
                <w:bCs/>
                <w:sz w:val="24"/>
                <w:szCs w:val="24"/>
                <w:lang w:val="en-US"/>
              </w:rPr>
              <w:t>注：出具近6个月项目经理在本公司的社保证明，不出具则以上各项不得分。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服务投诉反馈管理（</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b/>
                <w:bCs/>
                <w:sz w:val="24"/>
                <w:szCs w:val="24"/>
                <w:lang w:val="en-US"/>
              </w:rPr>
            </w:pPr>
            <w:r>
              <w:rPr>
                <w:rFonts w:hint="eastAsia" w:ascii="宋体" w:hAnsi="宋体" w:eastAsia="宋体" w:cs="宋体"/>
                <w:sz w:val="24"/>
                <w:szCs w:val="24"/>
              </w:rPr>
              <w:t>根据投标人提供的人员</w:t>
            </w:r>
            <w:r>
              <w:rPr>
                <w:rFonts w:hint="eastAsia" w:ascii="宋体" w:hAnsi="宋体" w:eastAsia="宋体" w:cs="宋体"/>
                <w:sz w:val="24"/>
                <w:szCs w:val="24"/>
                <w:lang w:eastAsia="zh-CN"/>
              </w:rPr>
              <w:t>服务投诉反馈</w:t>
            </w:r>
            <w:r>
              <w:rPr>
                <w:rFonts w:hint="eastAsia" w:ascii="宋体" w:hAnsi="宋体" w:eastAsia="宋体" w:cs="宋体"/>
                <w:sz w:val="24"/>
                <w:szCs w:val="24"/>
              </w:rPr>
              <w:t>管理方案进行评价:方案合理可行的得0.5-1分;方案基本符合本项目实际情况的得0-0.5分:方案简略合理性一般的得0分。未提供方案的不得分。(满分1分)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kinsoku/>
              <w:wordWrap/>
              <w:overflowPunct/>
              <w:topLinePunct w:val="0"/>
              <w:bidi w:val="0"/>
              <w:adjustRightInd w:val="0"/>
              <w:snapToGrid/>
              <w:spacing w:line="360" w:lineRule="auto"/>
              <w:ind w:left="0" w:leftChars="0"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垃圾分类</w:t>
            </w:r>
          </w:p>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（1分）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lang w:val="en-US"/>
              </w:rPr>
            </w:pPr>
            <w:r>
              <w:rPr>
                <w:rFonts w:hint="eastAsia" w:ascii="宋体" w:hAnsi="宋体" w:eastAsia="宋体" w:cs="宋体"/>
                <w:sz w:val="24"/>
                <w:szCs w:val="24"/>
              </w:rPr>
              <w:t>根据投标人提供的医疗垃圾、生活垃圾(五分类)、使用后未被污染的输液瓶(袋)分类收集与管控方案,由评委进行打分:方案完整、详细、具体、可行性强的0.5-1分方案不够周全详细、具体、完善、可行性一般的0-0.5分:方案不周全详细、具体、可行性较差的得0分;未提供的不得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kinsoku/>
              <w:wordWrap/>
              <w:overflowPunct/>
              <w:topLinePunct w:val="0"/>
              <w:bidi w:val="0"/>
              <w:adjustRightInd w:val="0"/>
              <w:snapToGrid/>
              <w:spacing w:line="360" w:lineRule="auto"/>
              <w:ind w:left="0" w:leftChars="0"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人员保密管理方案</w:t>
            </w:r>
          </w:p>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sz w:val="24"/>
                <w:szCs w:val="24"/>
              </w:rPr>
            </w:pPr>
            <w:r>
              <w:rPr>
                <w:rFonts w:hint="eastAsia" w:ascii="宋体" w:hAnsi="宋体" w:eastAsia="宋体" w:cs="宋体"/>
                <w:b/>
                <w:bCs/>
                <w:sz w:val="24"/>
                <w:szCs w:val="24"/>
              </w:rPr>
              <w:t>（1分）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根据投标人提供的人员保密管理方案(包含信息安全管理措施、保密教育制度)进行评价:方案合理可行的得0.5-1分;方案基本符合本项目实际情况的得0-0.5分:方案简略合理性一般的得0分。未提供方案的不得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kinsoku/>
              <w:wordWrap/>
              <w:overflowPunct/>
              <w:topLinePunct w:val="0"/>
              <w:bidi w:val="0"/>
              <w:adjustRightInd w:val="0"/>
              <w:snapToGrid/>
              <w:spacing w:line="360" w:lineRule="auto"/>
              <w:ind w:left="0" w:leftChars="0"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投标文件质量</w:t>
            </w:r>
          </w:p>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sz w:val="24"/>
                <w:szCs w:val="24"/>
              </w:rPr>
            </w:pPr>
            <w:r>
              <w:rPr>
                <w:rFonts w:hint="eastAsia" w:ascii="宋体" w:hAnsi="宋体" w:eastAsia="宋体" w:cs="宋体"/>
                <w:b/>
                <w:bCs/>
                <w:sz w:val="24"/>
                <w:szCs w:val="24"/>
              </w:rPr>
              <w:t>（1分）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投标文件编制质量:投标文件编制完整,格式规范、装订整齐、内容明确、不存在无关内容的,得1分;投标文件没有目录或存在其他遗漏的,投标文件存在含义不明确、表述不一致、有明显文字和计算错误等情况的,可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企业抗风险能力（3分）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lang w:val="en-US"/>
              </w:rPr>
            </w:pPr>
            <w:r>
              <w:rPr>
                <w:rFonts w:hint="eastAsia" w:ascii="宋体" w:hAnsi="宋体" w:eastAsia="宋体" w:cs="宋体"/>
                <w:sz w:val="24"/>
                <w:szCs w:val="24"/>
                <w:lang w:val="en-US"/>
              </w:rPr>
              <w:t>评委根据投标人为其在职员工购买商业综合责任险保险赔付能力评价，年累计赔偿限额500万（含）以上得3分，499万-300万得2分，299万-100万得1分，其余不得分。</w:t>
            </w:r>
          </w:p>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lang w:val="en-US"/>
              </w:rPr>
            </w:pPr>
            <w:r>
              <w:rPr>
                <w:rFonts w:hint="eastAsia" w:ascii="宋体" w:hAnsi="宋体" w:eastAsia="宋体" w:cs="宋体"/>
                <w:b/>
                <w:bCs/>
                <w:sz w:val="24"/>
                <w:szCs w:val="24"/>
                <w:lang w:val="en-US"/>
              </w:rPr>
              <w:t>评审依据：提供保单证明（证明中未体现累计赔偿限额的不得分）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sz w:val="24"/>
                <w:szCs w:val="24"/>
              </w:rPr>
            </w:pPr>
          </w:p>
        </w:tc>
        <w:tc>
          <w:tcPr>
            <w:tcW w:w="1984"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rPr>
            </w:pPr>
            <w:r>
              <w:rPr>
                <w:rFonts w:hint="eastAsia" w:ascii="宋体" w:hAnsi="宋体" w:eastAsia="宋体" w:cs="宋体"/>
                <w:b/>
                <w:bCs/>
                <w:sz w:val="24"/>
                <w:szCs w:val="24"/>
              </w:rPr>
              <w:t>类似业绩（</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p>
        </w:tc>
        <w:tc>
          <w:tcPr>
            <w:tcW w:w="6776" w:type="dxa"/>
            <w:vAlign w:val="center"/>
          </w:tcPr>
          <w:p>
            <w:pPr>
              <w:keepNext w:val="0"/>
              <w:keepLines w:val="0"/>
              <w:pageBreakBefore w:val="0"/>
              <w:tabs>
                <w:tab w:val="left" w:pos="6832"/>
              </w:tabs>
              <w:kinsoku/>
              <w:wordWrap/>
              <w:overflowPunct/>
              <w:topLinePunct w:val="0"/>
              <w:bidi w:val="0"/>
              <w:adjustRightInd w:val="0"/>
              <w:snapToGrid/>
              <w:spacing w:line="360" w:lineRule="auto"/>
              <w:ind w:left="0" w:leftChars="0" w:firstLine="480" w:firstLineChars="200"/>
              <w:jc w:val="both"/>
              <w:outlineLvl w:val="2"/>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投标人具有自201</w:t>
            </w:r>
            <w:r>
              <w:rPr>
                <w:rFonts w:hint="eastAsia" w:ascii="宋体" w:hAnsi="宋体" w:eastAsia="宋体" w:cs="宋体"/>
                <w:bCs/>
                <w:kern w:val="0"/>
                <w:sz w:val="24"/>
                <w:szCs w:val="24"/>
                <w:lang w:val="en-US" w:eastAsia="zh-CN"/>
              </w:rPr>
              <w:t>8</w:t>
            </w:r>
            <w:r>
              <w:rPr>
                <w:rFonts w:hint="eastAsia" w:ascii="宋体" w:hAnsi="宋体" w:eastAsia="宋体" w:cs="宋体"/>
                <w:bCs/>
                <w:kern w:val="0"/>
                <w:sz w:val="24"/>
                <w:szCs w:val="24"/>
              </w:rPr>
              <w:t>年01月01日以来:服务过二级甲等医院</w:t>
            </w:r>
            <w:r>
              <w:rPr>
                <w:rFonts w:hint="eastAsia" w:ascii="宋体" w:hAnsi="宋体" w:eastAsia="宋体" w:cs="宋体"/>
                <w:bCs/>
                <w:kern w:val="0"/>
                <w:sz w:val="24"/>
                <w:szCs w:val="24"/>
                <w:lang w:eastAsia="zh-CN"/>
              </w:rPr>
              <w:t>及以上医院</w:t>
            </w:r>
            <w:r>
              <w:rPr>
                <w:rFonts w:hint="eastAsia" w:ascii="宋体" w:hAnsi="宋体" w:eastAsia="宋体" w:cs="宋体"/>
                <w:bCs/>
                <w:kern w:val="0"/>
                <w:sz w:val="24"/>
                <w:szCs w:val="24"/>
              </w:rPr>
              <w:t>同类项目,每提供一个得0.5分</w:t>
            </w:r>
            <w:r>
              <w:rPr>
                <w:rFonts w:hint="eastAsia" w:ascii="宋体" w:hAnsi="宋体" w:eastAsia="宋体" w:cs="宋体"/>
                <w:bCs/>
                <w:kern w:val="0"/>
                <w:sz w:val="24"/>
                <w:szCs w:val="24"/>
                <w:lang w:val="en-US" w:eastAsia="zh-CN"/>
              </w:rPr>
              <w:t>.</w:t>
            </w:r>
          </w:p>
          <w:p>
            <w:pPr>
              <w:keepNext w:val="0"/>
              <w:keepLines w:val="0"/>
              <w:pageBreakBefore w:val="0"/>
              <w:tabs>
                <w:tab w:val="left" w:pos="6832"/>
              </w:tabs>
              <w:kinsoku/>
              <w:wordWrap/>
              <w:overflowPunct/>
              <w:topLinePunct w:val="0"/>
              <w:bidi w:val="0"/>
              <w:adjustRightInd w:val="0"/>
              <w:snapToGrid/>
              <w:spacing w:line="360" w:lineRule="auto"/>
              <w:ind w:left="0" w:leftChars="0" w:firstLine="482" w:firstLineChars="200"/>
              <w:jc w:val="both"/>
              <w:outlineLvl w:val="2"/>
              <w:rPr>
                <w:rFonts w:hint="eastAsia" w:ascii="宋体" w:hAnsi="宋体" w:eastAsia="宋体" w:cs="宋体"/>
                <w:b/>
                <w:bCs/>
                <w:sz w:val="24"/>
                <w:szCs w:val="24"/>
                <w:lang w:val="en-US"/>
              </w:rPr>
            </w:pPr>
            <w:r>
              <w:rPr>
                <w:rFonts w:hint="eastAsia" w:ascii="宋体" w:hAnsi="宋体" w:eastAsia="宋体" w:cs="宋体"/>
                <w:b/>
                <w:bCs/>
                <w:sz w:val="24"/>
                <w:szCs w:val="24"/>
              </w:rPr>
              <w:t>评审依据：提供合同复印件加盖投标人公章，未提供或提供无效合同得0分，合同以签订时间为准，同一单位多份合同按一份合同计算。</w:t>
            </w:r>
          </w:p>
        </w:tc>
      </w:tr>
    </w:tbl>
    <w:p>
      <w:pPr>
        <w:keepNext w:val="0"/>
        <w:keepLines w:val="0"/>
        <w:pageBreakBefore w:val="0"/>
        <w:kinsoku/>
        <w:wordWrap/>
        <w:overflowPunct/>
        <w:topLinePunct w:val="0"/>
        <w:bidi w:val="0"/>
        <w:adjustRightInd w:val="0"/>
        <w:snapToGrid/>
        <w:spacing w:line="360" w:lineRule="auto"/>
        <w:outlineLvl w:val="2"/>
        <w:rPr>
          <w:rFonts w:hint="eastAsia" w:ascii="宋体" w:hAnsi="宋体" w:eastAsia="宋体" w:cs="宋体"/>
          <w:sz w:val="24"/>
          <w:szCs w:val="24"/>
        </w:rPr>
      </w:pPr>
    </w:p>
    <w:p>
      <w:pPr>
        <w:keepNext w:val="0"/>
        <w:keepLines w:val="0"/>
        <w:pageBreakBefore w:val="0"/>
        <w:kinsoku/>
        <w:wordWrap/>
        <w:overflowPunct/>
        <w:topLinePunct w:val="0"/>
        <w:bidi w:val="0"/>
        <w:adjustRightInd w:val="0"/>
        <w:snapToGrid/>
        <w:spacing w:line="360" w:lineRule="auto"/>
        <w:ind w:left="0" w:leftChars="0" w:firstLine="480" w:firstLineChars="200"/>
        <w:outlineLvl w:val="2"/>
        <w:rPr>
          <w:rFonts w:hint="eastAsia" w:ascii="宋体" w:hAnsi="宋体" w:eastAsia="宋体" w:cs="宋体"/>
          <w:sz w:val="24"/>
          <w:szCs w:val="24"/>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4872789"/>
    </w:sdtPr>
    <w:sdtContent>
      <w:sdt>
        <w:sdtPr>
          <w:id w:val="1728636285"/>
        </w:sdtPr>
        <w:sdtContent>
          <w:p>
            <w:pPr>
              <w:pStyle w:val="11"/>
              <w:jc w:val="center"/>
            </w:pPr>
            <w:r>
              <w:t xml:space="preserve"> </w:t>
            </w:r>
            <w:r>
              <w:rPr>
                <w:sz w:val="24"/>
                <w:szCs w:val="24"/>
              </w:rPr>
              <w:fldChar w:fldCharType="begin"/>
            </w:r>
            <w:r>
              <w:instrText xml:space="preserve">PAGE</w:instrText>
            </w:r>
            <w:r>
              <w:rPr>
                <w:sz w:val="24"/>
                <w:szCs w:val="24"/>
              </w:rPr>
              <w:fldChar w:fldCharType="separate"/>
            </w:r>
            <w:r>
              <w:t>2</w:t>
            </w:r>
            <w:r>
              <w:rPr>
                <w:sz w:val="24"/>
                <w:szCs w:val="24"/>
              </w:rPr>
              <w:fldChar w:fldCharType="end"/>
            </w:r>
            <w:r>
              <w:t xml:space="preserve"> / </w:t>
            </w:r>
            <w:r>
              <w:rPr>
                <w:sz w:val="24"/>
                <w:szCs w:val="24"/>
              </w:rPr>
              <w:fldChar w:fldCharType="begin"/>
            </w:r>
            <w:r>
              <w:instrText xml:space="preserve">NUMPAGES</w:instrText>
            </w:r>
            <w:r>
              <w:rPr>
                <w:sz w:val="24"/>
                <w:szCs w:val="24"/>
              </w:rPr>
              <w:fldChar w:fldCharType="separate"/>
            </w:r>
            <w:r>
              <w:t>2</w:t>
            </w:r>
            <w:r>
              <w:rPr>
                <w:sz w:val="24"/>
                <w:szCs w:val="24"/>
              </w:rPr>
              <w:fldChar w:fldCharType="end"/>
            </w:r>
          </w:p>
        </w:sdtContent>
      </w:sdt>
    </w:sdtContent>
  </w:sdt>
  <w:p>
    <w:pPr>
      <w:pStyle w:val="9"/>
      <w:spacing w:line="14" w:lineRule="auto"/>
      <w:rPr>
        <w:sz w:val="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C5"/>
    <w:rsid w:val="000032A7"/>
    <w:rsid w:val="00014F61"/>
    <w:rsid w:val="000233E2"/>
    <w:rsid w:val="000245BE"/>
    <w:rsid w:val="00033F47"/>
    <w:rsid w:val="00064409"/>
    <w:rsid w:val="00071DA7"/>
    <w:rsid w:val="000901DB"/>
    <w:rsid w:val="0009192A"/>
    <w:rsid w:val="000933CE"/>
    <w:rsid w:val="000A2E52"/>
    <w:rsid w:val="000C1194"/>
    <w:rsid w:val="000D2F26"/>
    <w:rsid w:val="000D32FB"/>
    <w:rsid w:val="000D7A8D"/>
    <w:rsid w:val="001077FD"/>
    <w:rsid w:val="00111538"/>
    <w:rsid w:val="001348C9"/>
    <w:rsid w:val="0013691D"/>
    <w:rsid w:val="001463C5"/>
    <w:rsid w:val="00165019"/>
    <w:rsid w:val="001800A2"/>
    <w:rsid w:val="00196A77"/>
    <w:rsid w:val="001C580E"/>
    <w:rsid w:val="001D52C7"/>
    <w:rsid w:val="001E6728"/>
    <w:rsid w:val="001F27B5"/>
    <w:rsid w:val="00204F5F"/>
    <w:rsid w:val="00221DC5"/>
    <w:rsid w:val="00235ACA"/>
    <w:rsid w:val="00240520"/>
    <w:rsid w:val="00253EAD"/>
    <w:rsid w:val="0026639A"/>
    <w:rsid w:val="00272512"/>
    <w:rsid w:val="00284F89"/>
    <w:rsid w:val="00296BB0"/>
    <w:rsid w:val="002A0434"/>
    <w:rsid w:val="002C04F7"/>
    <w:rsid w:val="002D6188"/>
    <w:rsid w:val="00334DC4"/>
    <w:rsid w:val="003501B2"/>
    <w:rsid w:val="00350A46"/>
    <w:rsid w:val="00357EC6"/>
    <w:rsid w:val="00357EF4"/>
    <w:rsid w:val="0037133D"/>
    <w:rsid w:val="0037134E"/>
    <w:rsid w:val="00387BFE"/>
    <w:rsid w:val="0039432C"/>
    <w:rsid w:val="003A6F2F"/>
    <w:rsid w:val="003B425B"/>
    <w:rsid w:val="003C6609"/>
    <w:rsid w:val="0040059D"/>
    <w:rsid w:val="00437C56"/>
    <w:rsid w:val="00472B6A"/>
    <w:rsid w:val="00473E2A"/>
    <w:rsid w:val="00490254"/>
    <w:rsid w:val="00490D9C"/>
    <w:rsid w:val="004948BB"/>
    <w:rsid w:val="004B1258"/>
    <w:rsid w:val="004D3074"/>
    <w:rsid w:val="004F67EC"/>
    <w:rsid w:val="00503B2E"/>
    <w:rsid w:val="00511359"/>
    <w:rsid w:val="00513184"/>
    <w:rsid w:val="005155AD"/>
    <w:rsid w:val="005314C5"/>
    <w:rsid w:val="00555F4A"/>
    <w:rsid w:val="005575D4"/>
    <w:rsid w:val="00565CD7"/>
    <w:rsid w:val="005770D5"/>
    <w:rsid w:val="005C133E"/>
    <w:rsid w:val="005C4675"/>
    <w:rsid w:val="005D5A0D"/>
    <w:rsid w:val="005F3796"/>
    <w:rsid w:val="005F5209"/>
    <w:rsid w:val="00613A70"/>
    <w:rsid w:val="00625595"/>
    <w:rsid w:val="00636F98"/>
    <w:rsid w:val="006728A0"/>
    <w:rsid w:val="00673890"/>
    <w:rsid w:val="00675481"/>
    <w:rsid w:val="00683315"/>
    <w:rsid w:val="00687029"/>
    <w:rsid w:val="006B324E"/>
    <w:rsid w:val="006C0A51"/>
    <w:rsid w:val="006D381C"/>
    <w:rsid w:val="006D41FA"/>
    <w:rsid w:val="006D6850"/>
    <w:rsid w:val="006F6554"/>
    <w:rsid w:val="00704B3A"/>
    <w:rsid w:val="00707505"/>
    <w:rsid w:val="00726839"/>
    <w:rsid w:val="00755FE8"/>
    <w:rsid w:val="00772F86"/>
    <w:rsid w:val="00780655"/>
    <w:rsid w:val="007818B4"/>
    <w:rsid w:val="007858DC"/>
    <w:rsid w:val="00795226"/>
    <w:rsid w:val="007D1BB7"/>
    <w:rsid w:val="007D53FD"/>
    <w:rsid w:val="007F3507"/>
    <w:rsid w:val="00801342"/>
    <w:rsid w:val="00806A42"/>
    <w:rsid w:val="00825E54"/>
    <w:rsid w:val="00827C69"/>
    <w:rsid w:val="00836950"/>
    <w:rsid w:val="00862E8B"/>
    <w:rsid w:val="008727A9"/>
    <w:rsid w:val="00884340"/>
    <w:rsid w:val="00896D66"/>
    <w:rsid w:val="008A15B6"/>
    <w:rsid w:val="008B4892"/>
    <w:rsid w:val="008C0FC5"/>
    <w:rsid w:val="008C4E64"/>
    <w:rsid w:val="008C6C96"/>
    <w:rsid w:val="008F0A93"/>
    <w:rsid w:val="00902C15"/>
    <w:rsid w:val="0092238E"/>
    <w:rsid w:val="00926EA7"/>
    <w:rsid w:val="00934454"/>
    <w:rsid w:val="00936065"/>
    <w:rsid w:val="00950F38"/>
    <w:rsid w:val="00956B0E"/>
    <w:rsid w:val="00961D19"/>
    <w:rsid w:val="0096436A"/>
    <w:rsid w:val="00966966"/>
    <w:rsid w:val="009725A8"/>
    <w:rsid w:val="00983492"/>
    <w:rsid w:val="009B4DD5"/>
    <w:rsid w:val="009C0D9D"/>
    <w:rsid w:val="009D3FAE"/>
    <w:rsid w:val="009E0310"/>
    <w:rsid w:val="009E18EC"/>
    <w:rsid w:val="009E5BEA"/>
    <w:rsid w:val="00A508D1"/>
    <w:rsid w:val="00A66779"/>
    <w:rsid w:val="00A8201C"/>
    <w:rsid w:val="00A83335"/>
    <w:rsid w:val="00A911AD"/>
    <w:rsid w:val="00AA5E2C"/>
    <w:rsid w:val="00AE27D0"/>
    <w:rsid w:val="00AE3F56"/>
    <w:rsid w:val="00B04DA3"/>
    <w:rsid w:val="00B21EEC"/>
    <w:rsid w:val="00B27161"/>
    <w:rsid w:val="00B3037D"/>
    <w:rsid w:val="00B405C9"/>
    <w:rsid w:val="00B423B0"/>
    <w:rsid w:val="00B539D8"/>
    <w:rsid w:val="00B7172E"/>
    <w:rsid w:val="00B77458"/>
    <w:rsid w:val="00B802F8"/>
    <w:rsid w:val="00B844D7"/>
    <w:rsid w:val="00B875F8"/>
    <w:rsid w:val="00B95211"/>
    <w:rsid w:val="00BB742B"/>
    <w:rsid w:val="00BC40B2"/>
    <w:rsid w:val="00BF360B"/>
    <w:rsid w:val="00C0426D"/>
    <w:rsid w:val="00C13AFB"/>
    <w:rsid w:val="00C17BBD"/>
    <w:rsid w:val="00C24395"/>
    <w:rsid w:val="00C26509"/>
    <w:rsid w:val="00C42905"/>
    <w:rsid w:val="00C5223C"/>
    <w:rsid w:val="00C555AD"/>
    <w:rsid w:val="00C927F8"/>
    <w:rsid w:val="00C928D8"/>
    <w:rsid w:val="00C94702"/>
    <w:rsid w:val="00CD63C1"/>
    <w:rsid w:val="00D21273"/>
    <w:rsid w:val="00D443E8"/>
    <w:rsid w:val="00D61C80"/>
    <w:rsid w:val="00D71389"/>
    <w:rsid w:val="00D72A57"/>
    <w:rsid w:val="00D767B5"/>
    <w:rsid w:val="00D96EDC"/>
    <w:rsid w:val="00DB6C86"/>
    <w:rsid w:val="00DC0877"/>
    <w:rsid w:val="00DC16DA"/>
    <w:rsid w:val="00E01A21"/>
    <w:rsid w:val="00E0434C"/>
    <w:rsid w:val="00E1126D"/>
    <w:rsid w:val="00E25E92"/>
    <w:rsid w:val="00E32245"/>
    <w:rsid w:val="00E57167"/>
    <w:rsid w:val="00E8742C"/>
    <w:rsid w:val="00E91B0E"/>
    <w:rsid w:val="00E92BA0"/>
    <w:rsid w:val="00EC6692"/>
    <w:rsid w:val="00EC6CC4"/>
    <w:rsid w:val="00ED1C30"/>
    <w:rsid w:val="00EE56A9"/>
    <w:rsid w:val="00EF4D16"/>
    <w:rsid w:val="00EF5158"/>
    <w:rsid w:val="00EF5590"/>
    <w:rsid w:val="00F02B27"/>
    <w:rsid w:val="00F22827"/>
    <w:rsid w:val="00F22C26"/>
    <w:rsid w:val="00F363BE"/>
    <w:rsid w:val="00F47B21"/>
    <w:rsid w:val="00F672B4"/>
    <w:rsid w:val="00F71176"/>
    <w:rsid w:val="00F74493"/>
    <w:rsid w:val="00F84906"/>
    <w:rsid w:val="00FB1427"/>
    <w:rsid w:val="00FB2BB6"/>
    <w:rsid w:val="00FE2FC8"/>
    <w:rsid w:val="00FF02D8"/>
    <w:rsid w:val="0100390C"/>
    <w:rsid w:val="01105DCE"/>
    <w:rsid w:val="01233A9E"/>
    <w:rsid w:val="01234CC6"/>
    <w:rsid w:val="0127533C"/>
    <w:rsid w:val="013D4B60"/>
    <w:rsid w:val="01660205"/>
    <w:rsid w:val="016F0E0D"/>
    <w:rsid w:val="01704382"/>
    <w:rsid w:val="01830099"/>
    <w:rsid w:val="01967DCC"/>
    <w:rsid w:val="01B50FD4"/>
    <w:rsid w:val="01DA23AF"/>
    <w:rsid w:val="02070CCA"/>
    <w:rsid w:val="023D293E"/>
    <w:rsid w:val="028247F4"/>
    <w:rsid w:val="02867E41"/>
    <w:rsid w:val="030B6598"/>
    <w:rsid w:val="03265180"/>
    <w:rsid w:val="032A1114"/>
    <w:rsid w:val="03526967"/>
    <w:rsid w:val="03C055D4"/>
    <w:rsid w:val="03DB41BC"/>
    <w:rsid w:val="040A684F"/>
    <w:rsid w:val="041651F4"/>
    <w:rsid w:val="04E90B5B"/>
    <w:rsid w:val="04F03C97"/>
    <w:rsid w:val="05637BC5"/>
    <w:rsid w:val="057F7418"/>
    <w:rsid w:val="05AA02EA"/>
    <w:rsid w:val="05B1372E"/>
    <w:rsid w:val="05DD1DAD"/>
    <w:rsid w:val="05EA4B8A"/>
    <w:rsid w:val="06113EC5"/>
    <w:rsid w:val="06127C3D"/>
    <w:rsid w:val="068E3768"/>
    <w:rsid w:val="06A0349B"/>
    <w:rsid w:val="06B331CE"/>
    <w:rsid w:val="06CD24E2"/>
    <w:rsid w:val="06FF4665"/>
    <w:rsid w:val="07126147"/>
    <w:rsid w:val="07153E89"/>
    <w:rsid w:val="07632E46"/>
    <w:rsid w:val="07CD02C0"/>
    <w:rsid w:val="08002443"/>
    <w:rsid w:val="085A0AC9"/>
    <w:rsid w:val="087370B9"/>
    <w:rsid w:val="08963939"/>
    <w:rsid w:val="089D4136"/>
    <w:rsid w:val="08F07C78"/>
    <w:rsid w:val="08FD2E27"/>
    <w:rsid w:val="091A12E3"/>
    <w:rsid w:val="095A64D6"/>
    <w:rsid w:val="097C3D4B"/>
    <w:rsid w:val="098145C3"/>
    <w:rsid w:val="09962B65"/>
    <w:rsid w:val="09A12FCC"/>
    <w:rsid w:val="09A60DC8"/>
    <w:rsid w:val="09C63218"/>
    <w:rsid w:val="09C726A2"/>
    <w:rsid w:val="09F66434"/>
    <w:rsid w:val="0A1D12F5"/>
    <w:rsid w:val="0A9B6453"/>
    <w:rsid w:val="0AA03A6A"/>
    <w:rsid w:val="0AAA2B3A"/>
    <w:rsid w:val="0ABF65E6"/>
    <w:rsid w:val="0AFD2C6A"/>
    <w:rsid w:val="0BCA3494"/>
    <w:rsid w:val="0BCB720C"/>
    <w:rsid w:val="0BFE6C9A"/>
    <w:rsid w:val="0C05627A"/>
    <w:rsid w:val="0C0A3890"/>
    <w:rsid w:val="0C112E71"/>
    <w:rsid w:val="0C142633"/>
    <w:rsid w:val="0CAA5073"/>
    <w:rsid w:val="0CB34751"/>
    <w:rsid w:val="0D1137D2"/>
    <w:rsid w:val="0DB118DE"/>
    <w:rsid w:val="0DC61A39"/>
    <w:rsid w:val="0DE615AC"/>
    <w:rsid w:val="0E087ECA"/>
    <w:rsid w:val="0E0B1B42"/>
    <w:rsid w:val="0E172295"/>
    <w:rsid w:val="0E2F3A82"/>
    <w:rsid w:val="0E323572"/>
    <w:rsid w:val="0E695A12"/>
    <w:rsid w:val="0E7E40C2"/>
    <w:rsid w:val="0E9C2B02"/>
    <w:rsid w:val="0EA7186A"/>
    <w:rsid w:val="0EB14497"/>
    <w:rsid w:val="0F102B00"/>
    <w:rsid w:val="0F157220"/>
    <w:rsid w:val="0F5216E5"/>
    <w:rsid w:val="0F6459AD"/>
    <w:rsid w:val="0FA67D74"/>
    <w:rsid w:val="0FAB5B16"/>
    <w:rsid w:val="0FFC3992"/>
    <w:rsid w:val="1001144E"/>
    <w:rsid w:val="102E1B18"/>
    <w:rsid w:val="102F6E00"/>
    <w:rsid w:val="10863702"/>
    <w:rsid w:val="10B44211"/>
    <w:rsid w:val="10CE3842"/>
    <w:rsid w:val="10E87F18"/>
    <w:rsid w:val="11283537"/>
    <w:rsid w:val="112F3D99"/>
    <w:rsid w:val="11494E5B"/>
    <w:rsid w:val="11656BCB"/>
    <w:rsid w:val="11B36778"/>
    <w:rsid w:val="11C06686"/>
    <w:rsid w:val="11DC7A7D"/>
    <w:rsid w:val="122B4561"/>
    <w:rsid w:val="125B0153"/>
    <w:rsid w:val="125C6E10"/>
    <w:rsid w:val="12A55421"/>
    <w:rsid w:val="12A83995"/>
    <w:rsid w:val="12EF37E0"/>
    <w:rsid w:val="12F9465F"/>
    <w:rsid w:val="13257202"/>
    <w:rsid w:val="13304B67"/>
    <w:rsid w:val="133B1959"/>
    <w:rsid w:val="133E2072"/>
    <w:rsid w:val="138F0B1F"/>
    <w:rsid w:val="13936861"/>
    <w:rsid w:val="139A199E"/>
    <w:rsid w:val="13D57BB8"/>
    <w:rsid w:val="141259D8"/>
    <w:rsid w:val="141A2ADF"/>
    <w:rsid w:val="1420082F"/>
    <w:rsid w:val="142257B6"/>
    <w:rsid w:val="144830BA"/>
    <w:rsid w:val="145A06C4"/>
    <w:rsid w:val="146124BC"/>
    <w:rsid w:val="146D2C0E"/>
    <w:rsid w:val="146D3637"/>
    <w:rsid w:val="14A81E98"/>
    <w:rsid w:val="14B00D4D"/>
    <w:rsid w:val="14B43819"/>
    <w:rsid w:val="14F41582"/>
    <w:rsid w:val="152F4351"/>
    <w:rsid w:val="153E27FD"/>
    <w:rsid w:val="1574621E"/>
    <w:rsid w:val="15751753"/>
    <w:rsid w:val="15B14D7D"/>
    <w:rsid w:val="16331C36"/>
    <w:rsid w:val="163E0DC4"/>
    <w:rsid w:val="16635D30"/>
    <w:rsid w:val="168D57EA"/>
    <w:rsid w:val="168E50BE"/>
    <w:rsid w:val="16A84D90"/>
    <w:rsid w:val="16BF356F"/>
    <w:rsid w:val="1706734A"/>
    <w:rsid w:val="172C5003"/>
    <w:rsid w:val="172C6AFF"/>
    <w:rsid w:val="17824C23"/>
    <w:rsid w:val="178A7F7B"/>
    <w:rsid w:val="17B80644"/>
    <w:rsid w:val="17C0574B"/>
    <w:rsid w:val="17CA0378"/>
    <w:rsid w:val="17CF015D"/>
    <w:rsid w:val="17FD09D7"/>
    <w:rsid w:val="181066D2"/>
    <w:rsid w:val="18383533"/>
    <w:rsid w:val="18495C6A"/>
    <w:rsid w:val="187F2157"/>
    <w:rsid w:val="18B0756E"/>
    <w:rsid w:val="18CE20EA"/>
    <w:rsid w:val="190B6E9A"/>
    <w:rsid w:val="193463F1"/>
    <w:rsid w:val="194A5C14"/>
    <w:rsid w:val="19B66E06"/>
    <w:rsid w:val="19FE21FC"/>
    <w:rsid w:val="1A0166A8"/>
    <w:rsid w:val="1A312930"/>
    <w:rsid w:val="1A424B3D"/>
    <w:rsid w:val="1A654388"/>
    <w:rsid w:val="1A66082C"/>
    <w:rsid w:val="1A6C3968"/>
    <w:rsid w:val="1A747DAB"/>
    <w:rsid w:val="1A864A2A"/>
    <w:rsid w:val="1AAC1FB7"/>
    <w:rsid w:val="1AE14356"/>
    <w:rsid w:val="1B0E67CD"/>
    <w:rsid w:val="1B99253B"/>
    <w:rsid w:val="1BB60D11"/>
    <w:rsid w:val="1BCA4DEA"/>
    <w:rsid w:val="1BD47A17"/>
    <w:rsid w:val="1BD73063"/>
    <w:rsid w:val="1BEA0FE8"/>
    <w:rsid w:val="1C095F13"/>
    <w:rsid w:val="1C33298F"/>
    <w:rsid w:val="1C3B6B15"/>
    <w:rsid w:val="1C752FA8"/>
    <w:rsid w:val="1CDB47F4"/>
    <w:rsid w:val="1CFA50BF"/>
    <w:rsid w:val="1D022362"/>
    <w:rsid w:val="1D156539"/>
    <w:rsid w:val="1D216BC2"/>
    <w:rsid w:val="1D290F49"/>
    <w:rsid w:val="1D4C5C6A"/>
    <w:rsid w:val="1D8334A3"/>
    <w:rsid w:val="1DAE4AAB"/>
    <w:rsid w:val="1DE2466D"/>
    <w:rsid w:val="1E116D00"/>
    <w:rsid w:val="1E312EFF"/>
    <w:rsid w:val="1E42335E"/>
    <w:rsid w:val="1E4F624C"/>
    <w:rsid w:val="1E510B39"/>
    <w:rsid w:val="1E840553"/>
    <w:rsid w:val="1E960FB4"/>
    <w:rsid w:val="1EA90CE7"/>
    <w:rsid w:val="1EDF6DFF"/>
    <w:rsid w:val="1F332CA6"/>
    <w:rsid w:val="1F572E39"/>
    <w:rsid w:val="1F7237CF"/>
    <w:rsid w:val="1FB75686"/>
    <w:rsid w:val="1FC3227C"/>
    <w:rsid w:val="1FE355B2"/>
    <w:rsid w:val="2000527E"/>
    <w:rsid w:val="20436A9D"/>
    <w:rsid w:val="20452C91"/>
    <w:rsid w:val="204F58BE"/>
    <w:rsid w:val="209057F5"/>
    <w:rsid w:val="2093753B"/>
    <w:rsid w:val="20DD55C0"/>
    <w:rsid w:val="21162880"/>
    <w:rsid w:val="21335BFB"/>
    <w:rsid w:val="21350F58"/>
    <w:rsid w:val="21437AAE"/>
    <w:rsid w:val="214429F7"/>
    <w:rsid w:val="21AB3214"/>
    <w:rsid w:val="21D544E9"/>
    <w:rsid w:val="21F45804"/>
    <w:rsid w:val="22274D44"/>
    <w:rsid w:val="223C00C4"/>
    <w:rsid w:val="22461994"/>
    <w:rsid w:val="224A6326"/>
    <w:rsid w:val="226145DC"/>
    <w:rsid w:val="229B6EC7"/>
    <w:rsid w:val="22FF181D"/>
    <w:rsid w:val="230A01C2"/>
    <w:rsid w:val="230A1F70"/>
    <w:rsid w:val="23111551"/>
    <w:rsid w:val="23477BD8"/>
    <w:rsid w:val="23753C83"/>
    <w:rsid w:val="23952182"/>
    <w:rsid w:val="23A31679"/>
    <w:rsid w:val="23E6478B"/>
    <w:rsid w:val="2412732E"/>
    <w:rsid w:val="24B74FF1"/>
    <w:rsid w:val="24C50845"/>
    <w:rsid w:val="24D9062F"/>
    <w:rsid w:val="251D5F8B"/>
    <w:rsid w:val="25323A5B"/>
    <w:rsid w:val="25F25669"/>
    <w:rsid w:val="25F82554"/>
    <w:rsid w:val="26105AEF"/>
    <w:rsid w:val="26154EB4"/>
    <w:rsid w:val="262B0B7B"/>
    <w:rsid w:val="263266C4"/>
    <w:rsid w:val="26600825"/>
    <w:rsid w:val="268A3AF4"/>
    <w:rsid w:val="26936254"/>
    <w:rsid w:val="26C32CCB"/>
    <w:rsid w:val="272A2BE1"/>
    <w:rsid w:val="27402404"/>
    <w:rsid w:val="274C3727"/>
    <w:rsid w:val="278422F1"/>
    <w:rsid w:val="279664C8"/>
    <w:rsid w:val="27D60501"/>
    <w:rsid w:val="27DC037F"/>
    <w:rsid w:val="28164F13"/>
    <w:rsid w:val="284C41F0"/>
    <w:rsid w:val="285048C9"/>
    <w:rsid w:val="28581FDA"/>
    <w:rsid w:val="28746246"/>
    <w:rsid w:val="28A644E9"/>
    <w:rsid w:val="28B210E0"/>
    <w:rsid w:val="28B5297E"/>
    <w:rsid w:val="28EA2F04"/>
    <w:rsid w:val="29233D8C"/>
    <w:rsid w:val="29336DAB"/>
    <w:rsid w:val="293E0BC6"/>
    <w:rsid w:val="2984482A"/>
    <w:rsid w:val="29E277A3"/>
    <w:rsid w:val="29EC23D0"/>
    <w:rsid w:val="29ED550D"/>
    <w:rsid w:val="2A043BBD"/>
    <w:rsid w:val="2A1C0F07"/>
    <w:rsid w:val="2A3C5105"/>
    <w:rsid w:val="2A5E2AF3"/>
    <w:rsid w:val="2A61688B"/>
    <w:rsid w:val="2A73664D"/>
    <w:rsid w:val="2A7F1496"/>
    <w:rsid w:val="2ACB0237"/>
    <w:rsid w:val="2B015D07"/>
    <w:rsid w:val="2B367DA6"/>
    <w:rsid w:val="2B4A7790"/>
    <w:rsid w:val="2B5D55B1"/>
    <w:rsid w:val="2B7E06E4"/>
    <w:rsid w:val="2B8D0BBC"/>
    <w:rsid w:val="2B920D55"/>
    <w:rsid w:val="2BAE3DE1"/>
    <w:rsid w:val="2BF10171"/>
    <w:rsid w:val="2C091613"/>
    <w:rsid w:val="2C3F6658"/>
    <w:rsid w:val="2C400A42"/>
    <w:rsid w:val="2C583C14"/>
    <w:rsid w:val="2C792640"/>
    <w:rsid w:val="2C8935A7"/>
    <w:rsid w:val="2C8A6AA3"/>
    <w:rsid w:val="2D047A30"/>
    <w:rsid w:val="2D4D13D7"/>
    <w:rsid w:val="2D6E7DF3"/>
    <w:rsid w:val="2D7B7CF2"/>
    <w:rsid w:val="2DD9710F"/>
    <w:rsid w:val="2E266CC1"/>
    <w:rsid w:val="2E8452CD"/>
    <w:rsid w:val="2EE91D11"/>
    <w:rsid w:val="2EFA733D"/>
    <w:rsid w:val="2F37233F"/>
    <w:rsid w:val="2F6A2714"/>
    <w:rsid w:val="2F860BD0"/>
    <w:rsid w:val="2F9C6646"/>
    <w:rsid w:val="2FC516F9"/>
    <w:rsid w:val="2FEC4ED7"/>
    <w:rsid w:val="2FFD0E93"/>
    <w:rsid w:val="2FFF46B4"/>
    <w:rsid w:val="2FFF7540"/>
    <w:rsid w:val="302F28F4"/>
    <w:rsid w:val="30890978"/>
    <w:rsid w:val="30E8414E"/>
    <w:rsid w:val="30FA1876"/>
    <w:rsid w:val="30FE1366"/>
    <w:rsid w:val="31017B35"/>
    <w:rsid w:val="311A0754"/>
    <w:rsid w:val="313C3D20"/>
    <w:rsid w:val="31631E6F"/>
    <w:rsid w:val="31750EFD"/>
    <w:rsid w:val="318B24CE"/>
    <w:rsid w:val="32052040"/>
    <w:rsid w:val="32132169"/>
    <w:rsid w:val="32755658"/>
    <w:rsid w:val="32C01EDF"/>
    <w:rsid w:val="32CB5278"/>
    <w:rsid w:val="32CC0FF0"/>
    <w:rsid w:val="32D22AAA"/>
    <w:rsid w:val="32DB1233"/>
    <w:rsid w:val="330C763F"/>
    <w:rsid w:val="33291F9F"/>
    <w:rsid w:val="333077D1"/>
    <w:rsid w:val="3350450F"/>
    <w:rsid w:val="338813BB"/>
    <w:rsid w:val="33893878"/>
    <w:rsid w:val="339A4C4A"/>
    <w:rsid w:val="33A70F5C"/>
    <w:rsid w:val="33E32712"/>
    <w:rsid w:val="34283B43"/>
    <w:rsid w:val="34475C56"/>
    <w:rsid w:val="34480B4A"/>
    <w:rsid w:val="346F60D7"/>
    <w:rsid w:val="347A51A8"/>
    <w:rsid w:val="347D07F4"/>
    <w:rsid w:val="34AB35B3"/>
    <w:rsid w:val="34C5219B"/>
    <w:rsid w:val="34DB145F"/>
    <w:rsid w:val="34E575E6"/>
    <w:rsid w:val="34EE524E"/>
    <w:rsid w:val="34F605A6"/>
    <w:rsid w:val="34FB2E38"/>
    <w:rsid w:val="35484EA2"/>
    <w:rsid w:val="3593788F"/>
    <w:rsid w:val="35A042F2"/>
    <w:rsid w:val="371D006C"/>
    <w:rsid w:val="375C659B"/>
    <w:rsid w:val="37777799"/>
    <w:rsid w:val="379B6839"/>
    <w:rsid w:val="37B02C8E"/>
    <w:rsid w:val="37C50CCC"/>
    <w:rsid w:val="38064FA4"/>
    <w:rsid w:val="383542B2"/>
    <w:rsid w:val="38726196"/>
    <w:rsid w:val="38765C86"/>
    <w:rsid w:val="388050A5"/>
    <w:rsid w:val="38805412"/>
    <w:rsid w:val="38961E84"/>
    <w:rsid w:val="38B60778"/>
    <w:rsid w:val="38B92017"/>
    <w:rsid w:val="38D155B2"/>
    <w:rsid w:val="38D429AD"/>
    <w:rsid w:val="39455658"/>
    <w:rsid w:val="39755F3E"/>
    <w:rsid w:val="397B72CC"/>
    <w:rsid w:val="3A0E1EEE"/>
    <w:rsid w:val="3A3E5D1A"/>
    <w:rsid w:val="3A4A3EF5"/>
    <w:rsid w:val="3A5B3385"/>
    <w:rsid w:val="3A944AE9"/>
    <w:rsid w:val="3AAC52E8"/>
    <w:rsid w:val="3AE80991"/>
    <w:rsid w:val="3AEF7F72"/>
    <w:rsid w:val="3B11613A"/>
    <w:rsid w:val="3B936B6B"/>
    <w:rsid w:val="3BAF04D3"/>
    <w:rsid w:val="3BE15B0C"/>
    <w:rsid w:val="3C065573"/>
    <w:rsid w:val="3C37572C"/>
    <w:rsid w:val="3C9963E7"/>
    <w:rsid w:val="3CAB7EC8"/>
    <w:rsid w:val="3CCA47F2"/>
    <w:rsid w:val="3CD45671"/>
    <w:rsid w:val="3D385C00"/>
    <w:rsid w:val="3D463C05"/>
    <w:rsid w:val="3D4E5423"/>
    <w:rsid w:val="3D6B0303"/>
    <w:rsid w:val="3D820C29"/>
    <w:rsid w:val="3D9170BE"/>
    <w:rsid w:val="3DBF3C2B"/>
    <w:rsid w:val="3DFD17F7"/>
    <w:rsid w:val="3E0755D2"/>
    <w:rsid w:val="3E33453E"/>
    <w:rsid w:val="3E442382"/>
    <w:rsid w:val="3E682515"/>
    <w:rsid w:val="3E952BDE"/>
    <w:rsid w:val="3EAC4ECD"/>
    <w:rsid w:val="3EE539D4"/>
    <w:rsid w:val="3F0F0BE2"/>
    <w:rsid w:val="3F1D07BC"/>
    <w:rsid w:val="3F2B65A7"/>
    <w:rsid w:val="3F5D36FC"/>
    <w:rsid w:val="3F7E3672"/>
    <w:rsid w:val="3F823162"/>
    <w:rsid w:val="3FC01EDD"/>
    <w:rsid w:val="3FCA4B09"/>
    <w:rsid w:val="3FE34B23"/>
    <w:rsid w:val="400B3158"/>
    <w:rsid w:val="40A11D0E"/>
    <w:rsid w:val="40A610D2"/>
    <w:rsid w:val="4101455B"/>
    <w:rsid w:val="41354204"/>
    <w:rsid w:val="41410DFB"/>
    <w:rsid w:val="414F176A"/>
    <w:rsid w:val="41CF1E7C"/>
    <w:rsid w:val="41D601DF"/>
    <w:rsid w:val="425132C0"/>
    <w:rsid w:val="42823479"/>
    <w:rsid w:val="42B15965"/>
    <w:rsid w:val="42E859D2"/>
    <w:rsid w:val="42EB54C2"/>
    <w:rsid w:val="42ED23AC"/>
    <w:rsid w:val="42F73E67"/>
    <w:rsid w:val="430B346F"/>
    <w:rsid w:val="440E76BA"/>
    <w:rsid w:val="44154DB3"/>
    <w:rsid w:val="442A44F0"/>
    <w:rsid w:val="447119F7"/>
    <w:rsid w:val="447D46C9"/>
    <w:rsid w:val="447F5EC2"/>
    <w:rsid w:val="44823C05"/>
    <w:rsid w:val="44891B76"/>
    <w:rsid w:val="45014B29"/>
    <w:rsid w:val="4508235C"/>
    <w:rsid w:val="459E05CA"/>
    <w:rsid w:val="45AF0A29"/>
    <w:rsid w:val="45CF69D6"/>
    <w:rsid w:val="45EC7588"/>
    <w:rsid w:val="46185D7C"/>
    <w:rsid w:val="461D5993"/>
    <w:rsid w:val="46584C1D"/>
    <w:rsid w:val="466435C2"/>
    <w:rsid w:val="46753A21"/>
    <w:rsid w:val="46AA2F9F"/>
    <w:rsid w:val="46BD0F24"/>
    <w:rsid w:val="46E2098A"/>
    <w:rsid w:val="4701612B"/>
    <w:rsid w:val="47024B89"/>
    <w:rsid w:val="47590C4D"/>
    <w:rsid w:val="475A0BC9"/>
    <w:rsid w:val="47C933BF"/>
    <w:rsid w:val="47F95F8C"/>
    <w:rsid w:val="48825F81"/>
    <w:rsid w:val="48904B42"/>
    <w:rsid w:val="48B84099"/>
    <w:rsid w:val="48FA020D"/>
    <w:rsid w:val="49170DBF"/>
    <w:rsid w:val="493A685C"/>
    <w:rsid w:val="495F2766"/>
    <w:rsid w:val="496E4757"/>
    <w:rsid w:val="49867CF3"/>
    <w:rsid w:val="49871904"/>
    <w:rsid w:val="49AE07A9"/>
    <w:rsid w:val="49B45048"/>
    <w:rsid w:val="49D34575"/>
    <w:rsid w:val="49E62540"/>
    <w:rsid w:val="4A29524D"/>
    <w:rsid w:val="4A2C2648"/>
    <w:rsid w:val="4A467C72"/>
    <w:rsid w:val="4A5D4EF8"/>
    <w:rsid w:val="4A706B2E"/>
    <w:rsid w:val="4A7C7E69"/>
    <w:rsid w:val="4A814C87"/>
    <w:rsid w:val="4AAA5C63"/>
    <w:rsid w:val="4ABB1C1E"/>
    <w:rsid w:val="4B422DB4"/>
    <w:rsid w:val="4B5D4A84"/>
    <w:rsid w:val="4B706B2B"/>
    <w:rsid w:val="4BBE3774"/>
    <w:rsid w:val="4BC53557"/>
    <w:rsid w:val="4BC539F7"/>
    <w:rsid w:val="4BD5286C"/>
    <w:rsid w:val="4BF76C86"/>
    <w:rsid w:val="4CCD51B4"/>
    <w:rsid w:val="4CCE79E7"/>
    <w:rsid w:val="4D185106"/>
    <w:rsid w:val="4DA4699A"/>
    <w:rsid w:val="4DBA5DD4"/>
    <w:rsid w:val="4DC53006"/>
    <w:rsid w:val="4E2D698F"/>
    <w:rsid w:val="4E360759"/>
    <w:rsid w:val="4E74636C"/>
    <w:rsid w:val="4EA56E6D"/>
    <w:rsid w:val="4EF851EF"/>
    <w:rsid w:val="4EFA0F67"/>
    <w:rsid w:val="4EFF657E"/>
    <w:rsid w:val="4F0B78D1"/>
    <w:rsid w:val="4F1D025F"/>
    <w:rsid w:val="4F2F6737"/>
    <w:rsid w:val="4F6477EB"/>
    <w:rsid w:val="4FDB580B"/>
    <w:rsid w:val="4FE52C74"/>
    <w:rsid w:val="500D4CCA"/>
    <w:rsid w:val="50F32112"/>
    <w:rsid w:val="512001F3"/>
    <w:rsid w:val="51320FAB"/>
    <w:rsid w:val="51656440"/>
    <w:rsid w:val="51B3719F"/>
    <w:rsid w:val="5257222D"/>
    <w:rsid w:val="526F3A1A"/>
    <w:rsid w:val="52976ACD"/>
    <w:rsid w:val="52A1794C"/>
    <w:rsid w:val="52E55A8A"/>
    <w:rsid w:val="533407C0"/>
    <w:rsid w:val="538F49C1"/>
    <w:rsid w:val="539F3E8B"/>
    <w:rsid w:val="53C877ED"/>
    <w:rsid w:val="53F1045F"/>
    <w:rsid w:val="540208BE"/>
    <w:rsid w:val="544C605D"/>
    <w:rsid w:val="546E1AAF"/>
    <w:rsid w:val="54C067AF"/>
    <w:rsid w:val="54C72DC0"/>
    <w:rsid w:val="54D264E2"/>
    <w:rsid w:val="55067F3A"/>
    <w:rsid w:val="556F1F83"/>
    <w:rsid w:val="55747599"/>
    <w:rsid w:val="558327A4"/>
    <w:rsid w:val="55904C14"/>
    <w:rsid w:val="55C45E2B"/>
    <w:rsid w:val="55D41E21"/>
    <w:rsid w:val="55F3636C"/>
    <w:rsid w:val="55FE7D15"/>
    <w:rsid w:val="56064695"/>
    <w:rsid w:val="560C77D2"/>
    <w:rsid w:val="56187F25"/>
    <w:rsid w:val="56383D43"/>
    <w:rsid w:val="56440D1A"/>
    <w:rsid w:val="565847C5"/>
    <w:rsid w:val="56707D61"/>
    <w:rsid w:val="56A31EE4"/>
    <w:rsid w:val="56B063AF"/>
    <w:rsid w:val="56BD505E"/>
    <w:rsid w:val="56C41E5B"/>
    <w:rsid w:val="56C500AD"/>
    <w:rsid w:val="56D46542"/>
    <w:rsid w:val="57064221"/>
    <w:rsid w:val="57135A6D"/>
    <w:rsid w:val="572823EA"/>
    <w:rsid w:val="575925A3"/>
    <w:rsid w:val="57620007"/>
    <w:rsid w:val="578A6C00"/>
    <w:rsid w:val="57CA6432"/>
    <w:rsid w:val="58727DC0"/>
    <w:rsid w:val="58952615"/>
    <w:rsid w:val="58AB6E2E"/>
    <w:rsid w:val="58BA52C3"/>
    <w:rsid w:val="59060509"/>
    <w:rsid w:val="591508FA"/>
    <w:rsid w:val="5923730C"/>
    <w:rsid w:val="594159E5"/>
    <w:rsid w:val="594D25DB"/>
    <w:rsid w:val="598C4EB2"/>
    <w:rsid w:val="59B22918"/>
    <w:rsid w:val="59BB12F3"/>
    <w:rsid w:val="59D64BD9"/>
    <w:rsid w:val="59F12012"/>
    <w:rsid w:val="5A0013FC"/>
    <w:rsid w:val="5A455061"/>
    <w:rsid w:val="5A7476F4"/>
    <w:rsid w:val="5A793B84"/>
    <w:rsid w:val="5A801805"/>
    <w:rsid w:val="5A885CFF"/>
    <w:rsid w:val="5A9304C2"/>
    <w:rsid w:val="5AA8101D"/>
    <w:rsid w:val="5AB26B9A"/>
    <w:rsid w:val="5AEE7B23"/>
    <w:rsid w:val="5B484E08"/>
    <w:rsid w:val="5B5D33F4"/>
    <w:rsid w:val="5B6360E6"/>
    <w:rsid w:val="5B6A0C36"/>
    <w:rsid w:val="5BA1276A"/>
    <w:rsid w:val="5BF44F90"/>
    <w:rsid w:val="5C2C0286"/>
    <w:rsid w:val="5C2D3FFE"/>
    <w:rsid w:val="5C367357"/>
    <w:rsid w:val="5C5123E2"/>
    <w:rsid w:val="5C6D4918"/>
    <w:rsid w:val="5C9347A9"/>
    <w:rsid w:val="5CC130C4"/>
    <w:rsid w:val="5CC167E4"/>
    <w:rsid w:val="5CCC3817"/>
    <w:rsid w:val="5CD1707F"/>
    <w:rsid w:val="5CE3204E"/>
    <w:rsid w:val="5D1F428F"/>
    <w:rsid w:val="5D333896"/>
    <w:rsid w:val="5D53188E"/>
    <w:rsid w:val="5D681792"/>
    <w:rsid w:val="5D6E37C6"/>
    <w:rsid w:val="5DA008A5"/>
    <w:rsid w:val="5DB1157B"/>
    <w:rsid w:val="5DC10EA2"/>
    <w:rsid w:val="5DE50180"/>
    <w:rsid w:val="5E053485"/>
    <w:rsid w:val="5E0C65C1"/>
    <w:rsid w:val="5F103E8F"/>
    <w:rsid w:val="5F2A3265"/>
    <w:rsid w:val="5F3E6C4E"/>
    <w:rsid w:val="5F4260CC"/>
    <w:rsid w:val="5F7F229F"/>
    <w:rsid w:val="5F9A7C49"/>
    <w:rsid w:val="5FB567E4"/>
    <w:rsid w:val="5FC1162D"/>
    <w:rsid w:val="5FF46D06"/>
    <w:rsid w:val="60AF1486"/>
    <w:rsid w:val="60EC092C"/>
    <w:rsid w:val="615838CB"/>
    <w:rsid w:val="616C7377"/>
    <w:rsid w:val="617D1584"/>
    <w:rsid w:val="61FB0E26"/>
    <w:rsid w:val="621041A6"/>
    <w:rsid w:val="62562270"/>
    <w:rsid w:val="627B15F9"/>
    <w:rsid w:val="62913539"/>
    <w:rsid w:val="6333639E"/>
    <w:rsid w:val="634B193A"/>
    <w:rsid w:val="635A1B7D"/>
    <w:rsid w:val="636925F5"/>
    <w:rsid w:val="63A96660"/>
    <w:rsid w:val="63AB062A"/>
    <w:rsid w:val="63DC6A36"/>
    <w:rsid w:val="63FE546D"/>
    <w:rsid w:val="643A375C"/>
    <w:rsid w:val="644D348F"/>
    <w:rsid w:val="64744EC0"/>
    <w:rsid w:val="64A05CB5"/>
    <w:rsid w:val="64A80B3B"/>
    <w:rsid w:val="64C475DB"/>
    <w:rsid w:val="64CD1105"/>
    <w:rsid w:val="65857EE9"/>
    <w:rsid w:val="65AC2438"/>
    <w:rsid w:val="65D56C13"/>
    <w:rsid w:val="662D17CA"/>
    <w:rsid w:val="663D12E2"/>
    <w:rsid w:val="664D3C1B"/>
    <w:rsid w:val="6659436D"/>
    <w:rsid w:val="668554AA"/>
    <w:rsid w:val="66A6332B"/>
    <w:rsid w:val="66BA2932"/>
    <w:rsid w:val="66E3632D"/>
    <w:rsid w:val="66FC2F4B"/>
    <w:rsid w:val="67144738"/>
    <w:rsid w:val="67256946"/>
    <w:rsid w:val="672901E4"/>
    <w:rsid w:val="6747066A"/>
    <w:rsid w:val="676D306E"/>
    <w:rsid w:val="67966EFB"/>
    <w:rsid w:val="67B6134C"/>
    <w:rsid w:val="67F51E74"/>
    <w:rsid w:val="68530820"/>
    <w:rsid w:val="685C1EF3"/>
    <w:rsid w:val="68BE495C"/>
    <w:rsid w:val="68EA39A3"/>
    <w:rsid w:val="693370F8"/>
    <w:rsid w:val="69782D5D"/>
    <w:rsid w:val="69AC6EAA"/>
    <w:rsid w:val="69B53FB1"/>
    <w:rsid w:val="69C02956"/>
    <w:rsid w:val="69E53ABA"/>
    <w:rsid w:val="6A040A94"/>
    <w:rsid w:val="6A164324"/>
    <w:rsid w:val="6A2B6021"/>
    <w:rsid w:val="6A7066C9"/>
    <w:rsid w:val="6A723C50"/>
    <w:rsid w:val="6A95793E"/>
    <w:rsid w:val="6AB82781"/>
    <w:rsid w:val="6B9B71D6"/>
    <w:rsid w:val="6BB10A4A"/>
    <w:rsid w:val="6BE23A64"/>
    <w:rsid w:val="6CE16E6B"/>
    <w:rsid w:val="6CFF1034"/>
    <w:rsid w:val="6D1B76F0"/>
    <w:rsid w:val="6D501E6E"/>
    <w:rsid w:val="6D5F7BD0"/>
    <w:rsid w:val="6D65482F"/>
    <w:rsid w:val="6DC9627D"/>
    <w:rsid w:val="6E4C0C5C"/>
    <w:rsid w:val="6E934195"/>
    <w:rsid w:val="6E9F7D13"/>
    <w:rsid w:val="6F440FE1"/>
    <w:rsid w:val="6F991C7F"/>
    <w:rsid w:val="6FF05BC4"/>
    <w:rsid w:val="70227EC6"/>
    <w:rsid w:val="70294DB1"/>
    <w:rsid w:val="70553BB0"/>
    <w:rsid w:val="70662F56"/>
    <w:rsid w:val="70763D6E"/>
    <w:rsid w:val="708F16A8"/>
    <w:rsid w:val="70D56CE6"/>
    <w:rsid w:val="70FC0717"/>
    <w:rsid w:val="71153587"/>
    <w:rsid w:val="71193077"/>
    <w:rsid w:val="71357785"/>
    <w:rsid w:val="71883D59"/>
    <w:rsid w:val="719941B8"/>
    <w:rsid w:val="719F0B3A"/>
    <w:rsid w:val="71A212BE"/>
    <w:rsid w:val="71A61597"/>
    <w:rsid w:val="71BE500D"/>
    <w:rsid w:val="71E06BF0"/>
    <w:rsid w:val="72005FE5"/>
    <w:rsid w:val="7238752D"/>
    <w:rsid w:val="72592FF0"/>
    <w:rsid w:val="72B172DF"/>
    <w:rsid w:val="72EA6E3E"/>
    <w:rsid w:val="736600CA"/>
    <w:rsid w:val="7379604F"/>
    <w:rsid w:val="738F5872"/>
    <w:rsid w:val="73D6524F"/>
    <w:rsid w:val="73F676A0"/>
    <w:rsid w:val="740E74C3"/>
    <w:rsid w:val="7416389E"/>
    <w:rsid w:val="74302EA8"/>
    <w:rsid w:val="744E128A"/>
    <w:rsid w:val="74A569D0"/>
    <w:rsid w:val="74CF1C9F"/>
    <w:rsid w:val="75100625"/>
    <w:rsid w:val="75115F8D"/>
    <w:rsid w:val="753A180E"/>
    <w:rsid w:val="753C7334"/>
    <w:rsid w:val="75524DAA"/>
    <w:rsid w:val="755A09EA"/>
    <w:rsid w:val="756D1BE3"/>
    <w:rsid w:val="756E770A"/>
    <w:rsid w:val="75793438"/>
    <w:rsid w:val="758C77FB"/>
    <w:rsid w:val="75986535"/>
    <w:rsid w:val="75DD086C"/>
    <w:rsid w:val="75E10F53"/>
    <w:rsid w:val="76045978"/>
    <w:rsid w:val="76092002"/>
    <w:rsid w:val="766D79C1"/>
    <w:rsid w:val="769811C1"/>
    <w:rsid w:val="76B949B4"/>
    <w:rsid w:val="77274014"/>
    <w:rsid w:val="774B1993"/>
    <w:rsid w:val="7754164F"/>
    <w:rsid w:val="77910151"/>
    <w:rsid w:val="77D04D49"/>
    <w:rsid w:val="781E0F73"/>
    <w:rsid w:val="78232A2D"/>
    <w:rsid w:val="7840538D"/>
    <w:rsid w:val="78774B27"/>
    <w:rsid w:val="78992CEF"/>
    <w:rsid w:val="789D458E"/>
    <w:rsid w:val="78CF7625"/>
    <w:rsid w:val="791365FE"/>
    <w:rsid w:val="798412AA"/>
    <w:rsid w:val="79984D55"/>
    <w:rsid w:val="79D815F5"/>
    <w:rsid w:val="79DC2E94"/>
    <w:rsid w:val="7A0917AF"/>
    <w:rsid w:val="7A0F14BB"/>
    <w:rsid w:val="7A123606"/>
    <w:rsid w:val="7A1E525A"/>
    <w:rsid w:val="7A2059C7"/>
    <w:rsid w:val="7A211FA2"/>
    <w:rsid w:val="7A2E1215"/>
    <w:rsid w:val="7A4801DC"/>
    <w:rsid w:val="7B1623D5"/>
    <w:rsid w:val="7B2208BF"/>
    <w:rsid w:val="7B220D7A"/>
    <w:rsid w:val="7B294712"/>
    <w:rsid w:val="7B6A44CF"/>
    <w:rsid w:val="7BB25888"/>
    <w:rsid w:val="7BE91898"/>
    <w:rsid w:val="7BEF6C86"/>
    <w:rsid w:val="7BF5023D"/>
    <w:rsid w:val="7C2D79D7"/>
    <w:rsid w:val="7C3E3AFF"/>
    <w:rsid w:val="7C741AA9"/>
    <w:rsid w:val="7C9C690A"/>
    <w:rsid w:val="7CA81753"/>
    <w:rsid w:val="7CC04CEF"/>
    <w:rsid w:val="7CF95B0B"/>
    <w:rsid w:val="7D67516A"/>
    <w:rsid w:val="7D782ED3"/>
    <w:rsid w:val="7D796C4C"/>
    <w:rsid w:val="7D831878"/>
    <w:rsid w:val="7D8E595A"/>
    <w:rsid w:val="7DA60CE3"/>
    <w:rsid w:val="7DCF6C0A"/>
    <w:rsid w:val="7DD63059"/>
    <w:rsid w:val="7E002EC9"/>
    <w:rsid w:val="7E026C41"/>
    <w:rsid w:val="7E156974"/>
    <w:rsid w:val="7E1D345E"/>
    <w:rsid w:val="7E6873EC"/>
    <w:rsid w:val="7E9E4BBC"/>
    <w:rsid w:val="7F192494"/>
    <w:rsid w:val="7F2E36C3"/>
    <w:rsid w:val="7F594F87"/>
    <w:rsid w:val="7F6C4CBA"/>
    <w:rsid w:val="7F855D7C"/>
    <w:rsid w:val="7F8E4C30"/>
    <w:rsid w:val="7FDD5BB8"/>
    <w:rsid w:val="F7F5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right="576" w:hanging="420"/>
      <w:outlineLvl w:val="0"/>
    </w:pPr>
    <w:rPr>
      <w:sz w:val="84"/>
      <w:szCs w:val="84"/>
    </w:rPr>
  </w:style>
  <w:style w:type="paragraph" w:styleId="3">
    <w:name w:val="heading 2"/>
    <w:basedOn w:val="1"/>
    <w:next w:val="1"/>
    <w:qFormat/>
    <w:uiPriority w:val="1"/>
    <w:pPr>
      <w:spacing w:before="32"/>
      <w:jc w:val="center"/>
      <w:outlineLvl w:val="1"/>
    </w:pPr>
    <w:rPr>
      <w:b/>
      <w:bCs/>
      <w:sz w:val="32"/>
      <w:szCs w:val="32"/>
    </w:rPr>
  </w:style>
  <w:style w:type="paragraph" w:styleId="4">
    <w:name w:val="heading 3"/>
    <w:basedOn w:val="1"/>
    <w:next w:val="1"/>
    <w:qFormat/>
    <w:uiPriority w:val="1"/>
    <w:pPr>
      <w:ind w:left="1227" w:hanging="426"/>
      <w:outlineLvl w:val="2"/>
    </w:pPr>
    <w:rPr>
      <w:b/>
      <w:bCs/>
      <w:sz w:val="28"/>
      <w:szCs w:val="28"/>
    </w:rPr>
  </w:style>
  <w:style w:type="paragraph" w:styleId="5">
    <w:name w:val="heading 4"/>
    <w:basedOn w:val="1"/>
    <w:next w:val="1"/>
    <w:qFormat/>
    <w:uiPriority w:val="1"/>
    <w:pPr>
      <w:ind w:left="285"/>
      <w:outlineLvl w:val="3"/>
    </w:pPr>
    <w:rPr>
      <w:sz w:val="28"/>
      <w:szCs w:val="28"/>
    </w:rPr>
  </w:style>
  <w:style w:type="paragraph" w:styleId="6">
    <w:name w:val="heading 5"/>
    <w:basedOn w:val="1"/>
    <w:next w:val="1"/>
    <w:link w:val="26"/>
    <w:qFormat/>
    <w:uiPriority w:val="1"/>
    <w:pPr>
      <w:ind w:left="1357"/>
      <w:outlineLvl w:val="4"/>
    </w:pPr>
    <w:rPr>
      <w:b/>
      <w:bCs/>
      <w:i/>
      <w:sz w:val="25"/>
      <w:szCs w:val="25"/>
    </w:rPr>
  </w:style>
  <w:style w:type="paragraph" w:styleId="7">
    <w:name w:val="heading 6"/>
    <w:basedOn w:val="1"/>
    <w:next w:val="1"/>
    <w:link w:val="25"/>
    <w:qFormat/>
    <w:uiPriority w:val="1"/>
    <w:pPr>
      <w:ind w:left="716"/>
      <w:outlineLvl w:val="5"/>
    </w:pPr>
    <w:rPr>
      <w:b/>
      <w:bCs/>
      <w:sz w:val="24"/>
      <w:szCs w:val="24"/>
    </w:rPr>
  </w:style>
  <w:style w:type="paragraph" w:styleId="8">
    <w:name w:val="heading 7"/>
    <w:basedOn w:val="1"/>
    <w:next w:val="1"/>
    <w:link w:val="29"/>
    <w:unhideWhenUsed/>
    <w:qFormat/>
    <w:uiPriority w:val="0"/>
    <w:pPr>
      <w:keepNext/>
      <w:keepLines/>
      <w:spacing w:before="240" w:after="64" w:line="320" w:lineRule="auto"/>
      <w:outlineLvl w:val="6"/>
    </w:pPr>
    <w:rPr>
      <w:b/>
      <w:bCs/>
      <w:sz w:val="24"/>
      <w:szCs w:val="24"/>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9">
    <w:name w:val="Body Text"/>
    <w:basedOn w:val="1"/>
    <w:next w:val="1"/>
    <w:link w:val="33"/>
    <w:qFormat/>
    <w:uiPriority w:val="1"/>
    <w:rPr>
      <w:sz w:val="24"/>
      <w:szCs w:val="24"/>
    </w:rPr>
  </w:style>
  <w:style w:type="paragraph" w:styleId="10">
    <w:name w:val="Body Text Indent"/>
    <w:basedOn w:val="1"/>
    <w:link w:val="30"/>
    <w:qFormat/>
    <w:uiPriority w:val="0"/>
    <w:pPr>
      <w:spacing w:after="120"/>
      <w:ind w:left="420" w:leftChars="200"/>
    </w:pPr>
  </w:style>
  <w:style w:type="paragraph" w:styleId="11">
    <w:name w:val="footer"/>
    <w:basedOn w:val="1"/>
    <w:link w:val="28"/>
    <w:qFormat/>
    <w:uiPriority w:val="99"/>
    <w:pPr>
      <w:tabs>
        <w:tab w:val="center" w:pos="4153"/>
        <w:tab w:val="right" w:pos="8306"/>
      </w:tabs>
      <w:snapToGrid w:val="0"/>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1"/>
    <w:pPr>
      <w:spacing w:before="2"/>
      <w:ind w:right="121"/>
      <w:jc w:val="right"/>
    </w:pPr>
    <w:rPr>
      <w:sz w:val="21"/>
      <w:szCs w:val="21"/>
    </w:rPr>
  </w:style>
  <w:style w:type="paragraph" w:styleId="14">
    <w:name w:val="toc 2"/>
    <w:basedOn w:val="1"/>
    <w:next w:val="1"/>
    <w:qFormat/>
    <w:uiPriority w:val="1"/>
    <w:pPr>
      <w:spacing w:before="2"/>
      <w:ind w:left="122"/>
    </w:pPr>
    <w:rPr>
      <w:sz w:val="21"/>
      <w:szCs w:val="21"/>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val="en-US" w:bidi="ar-SA"/>
    </w:rPr>
  </w:style>
  <w:style w:type="paragraph" w:styleId="16">
    <w:name w:val="Normal (Web)"/>
    <w:basedOn w:val="1"/>
    <w:qFormat/>
    <w:uiPriority w:val="0"/>
    <w:pPr>
      <w:spacing w:beforeAutospacing="1" w:afterAutospacing="1"/>
    </w:pPr>
    <w:rPr>
      <w:rFonts w:cs="Times New Roman"/>
      <w:sz w:val="24"/>
      <w:lang w:val="en-US" w:bidi="ar-SA"/>
    </w:rPr>
  </w:style>
  <w:style w:type="paragraph" w:styleId="17">
    <w:name w:val="Body Text First Indent 2"/>
    <w:basedOn w:val="10"/>
    <w:link w:val="31"/>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Table Normal"/>
    <w:unhideWhenUsed/>
    <w:qFormat/>
    <w:uiPriority w:val="2"/>
    <w:tblPr>
      <w:tblCellMar>
        <w:top w:w="0" w:type="dxa"/>
        <w:left w:w="0" w:type="dxa"/>
        <w:bottom w:w="0" w:type="dxa"/>
        <w:right w:w="0" w:type="dxa"/>
      </w:tblCellMar>
    </w:tblPr>
  </w:style>
  <w:style w:type="paragraph" w:customStyle="1" w:styleId="22">
    <w:name w:val="List Paragraph"/>
    <w:basedOn w:val="1"/>
    <w:qFormat/>
    <w:uiPriority w:val="1"/>
    <w:pPr>
      <w:ind w:left="475" w:firstLine="480"/>
    </w:pPr>
  </w:style>
  <w:style w:type="paragraph" w:customStyle="1" w:styleId="23">
    <w:name w:val="Table Paragraph"/>
    <w:basedOn w:val="1"/>
    <w:qFormat/>
    <w:uiPriority w:val="1"/>
  </w:style>
  <w:style w:type="character" w:customStyle="1" w:styleId="24">
    <w:name w:val="font51"/>
    <w:qFormat/>
    <w:uiPriority w:val="0"/>
    <w:rPr>
      <w:rFonts w:hint="eastAsia" w:ascii="宋体" w:hAnsi="宋体" w:eastAsia="宋体" w:cs="宋体"/>
      <w:color w:val="000000"/>
      <w:sz w:val="24"/>
      <w:szCs w:val="24"/>
      <w:u w:val="none"/>
    </w:rPr>
  </w:style>
  <w:style w:type="character" w:customStyle="1" w:styleId="25">
    <w:name w:val="标题 6 字符"/>
    <w:link w:val="7"/>
    <w:qFormat/>
    <w:uiPriority w:val="1"/>
    <w:rPr>
      <w:rFonts w:ascii="宋体" w:hAnsi="宋体" w:eastAsia="宋体" w:cs="宋体"/>
      <w:b/>
      <w:bCs/>
      <w:sz w:val="24"/>
      <w:szCs w:val="24"/>
      <w:lang w:val="zh-CN" w:eastAsia="zh-CN" w:bidi="zh-CN"/>
    </w:rPr>
  </w:style>
  <w:style w:type="character" w:customStyle="1" w:styleId="26">
    <w:name w:val="标题 5 字符"/>
    <w:link w:val="6"/>
    <w:qFormat/>
    <w:uiPriority w:val="1"/>
    <w:rPr>
      <w:rFonts w:ascii="宋体" w:hAnsi="宋体" w:eastAsia="宋体" w:cs="宋体"/>
      <w:b/>
      <w:bCs/>
      <w:i/>
      <w:sz w:val="25"/>
      <w:szCs w:val="25"/>
      <w:lang w:val="zh-CN" w:eastAsia="zh-CN" w:bidi="zh-CN"/>
    </w:rPr>
  </w:style>
  <w:style w:type="character" w:customStyle="1" w:styleId="27">
    <w:name w:val="页眉 字符"/>
    <w:basedOn w:val="20"/>
    <w:link w:val="12"/>
    <w:qFormat/>
    <w:uiPriority w:val="0"/>
    <w:rPr>
      <w:rFonts w:ascii="宋体" w:hAnsi="宋体" w:cs="宋体"/>
      <w:sz w:val="18"/>
      <w:szCs w:val="18"/>
      <w:lang w:val="zh-CN" w:bidi="zh-CN"/>
    </w:rPr>
  </w:style>
  <w:style w:type="character" w:customStyle="1" w:styleId="28">
    <w:name w:val="页脚 字符"/>
    <w:basedOn w:val="20"/>
    <w:link w:val="11"/>
    <w:qFormat/>
    <w:uiPriority w:val="99"/>
    <w:rPr>
      <w:rFonts w:ascii="宋体" w:hAnsi="宋体" w:cs="宋体"/>
      <w:sz w:val="18"/>
      <w:szCs w:val="18"/>
      <w:lang w:val="zh-CN" w:bidi="zh-CN"/>
    </w:rPr>
  </w:style>
  <w:style w:type="character" w:customStyle="1" w:styleId="29">
    <w:name w:val="标题 7 字符"/>
    <w:basedOn w:val="20"/>
    <w:link w:val="8"/>
    <w:qFormat/>
    <w:uiPriority w:val="0"/>
    <w:rPr>
      <w:rFonts w:ascii="宋体" w:hAnsi="宋体" w:cs="宋体"/>
      <w:b/>
      <w:bCs/>
      <w:sz w:val="24"/>
      <w:szCs w:val="24"/>
      <w:lang w:val="zh-CN" w:bidi="zh-CN"/>
    </w:rPr>
  </w:style>
  <w:style w:type="character" w:customStyle="1" w:styleId="30">
    <w:name w:val="正文文本缩进 字符"/>
    <w:basedOn w:val="20"/>
    <w:link w:val="10"/>
    <w:qFormat/>
    <w:uiPriority w:val="0"/>
    <w:rPr>
      <w:rFonts w:ascii="宋体" w:hAnsi="宋体" w:cs="宋体"/>
      <w:sz w:val="22"/>
      <w:szCs w:val="22"/>
      <w:lang w:val="zh-CN" w:bidi="zh-CN"/>
    </w:rPr>
  </w:style>
  <w:style w:type="character" w:customStyle="1" w:styleId="31">
    <w:name w:val="正文文本首行缩进 2 字符"/>
    <w:basedOn w:val="30"/>
    <w:link w:val="17"/>
    <w:qFormat/>
    <w:uiPriority w:val="0"/>
    <w:rPr>
      <w:rFonts w:ascii="宋体" w:hAnsi="宋体" w:cs="宋体"/>
      <w:sz w:val="22"/>
      <w:szCs w:val="22"/>
      <w:lang w:val="zh-CN" w:bidi="zh-CN"/>
    </w:rPr>
  </w:style>
  <w:style w:type="character" w:customStyle="1" w:styleId="32">
    <w:name w:val="正文文本缩进 Char Char"/>
    <w:qFormat/>
    <w:uiPriority w:val="0"/>
    <w:rPr>
      <w:rFonts w:ascii="Tahoma" w:hAnsi="Tahoma"/>
      <w:kern w:val="2"/>
      <w:sz w:val="21"/>
      <w:szCs w:val="24"/>
    </w:rPr>
  </w:style>
  <w:style w:type="character" w:customStyle="1" w:styleId="33">
    <w:name w:val="正文文本 字符"/>
    <w:basedOn w:val="20"/>
    <w:link w:val="9"/>
    <w:qFormat/>
    <w:uiPriority w:val="1"/>
    <w:rPr>
      <w:rFonts w:ascii="宋体" w:hAnsi="宋体" w:cs="宋体"/>
      <w:sz w:val="24"/>
      <w:szCs w:val="24"/>
      <w:lang w:val="zh-CN" w:bidi="zh-CN"/>
    </w:rPr>
  </w:style>
  <w:style w:type="paragraph" w:customStyle="1" w:styleId="34">
    <w:name w:val="表格文字"/>
    <w:basedOn w:val="1"/>
    <w:next w:val="9"/>
    <w:qFormat/>
    <w:uiPriority w:val="0"/>
    <w:pPr>
      <w:adjustRightInd w:val="0"/>
      <w:spacing w:line="420" w:lineRule="atLeast"/>
      <w:textAlignment w:val="baseline"/>
    </w:pPr>
    <w:rPr>
      <w:rFonts w:asci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1825</Words>
  <Characters>10408</Characters>
  <Lines>86</Lines>
  <Paragraphs>24</Paragraphs>
  <TotalTime>30</TotalTime>
  <ScaleCrop>false</ScaleCrop>
  <LinksUpToDate>false</LinksUpToDate>
  <CharactersWithSpaces>12209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2021-11-25T11:07:00Z</dcterms:created>
  <dc:creator>hxw</dc:creator>
  <cp:lastModifiedBy>枫红</cp:lastModifiedBy>
  <dcterms:modified xsi:type="dcterms:W3CDTF">2021-12-06T02:44:28Z</dcterms:modified>
  <dc:title>台州市立医院招标文件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Creator">
    <vt:lpwstr>WPS 文字</vt:lpwstr>
  </property>
  <property fmtid="{D5CDD505-2E9C-101B-9397-08002B2CF9AE}" pid="4" name="LastSaved">
    <vt:filetime>2020-09-03T00:00:00Z</vt:filetime>
  </property>
  <property fmtid="{D5CDD505-2E9C-101B-9397-08002B2CF9AE}" pid="5" name="KSOProductBuildVer">
    <vt:lpwstr>2052-11.1.0.11115</vt:lpwstr>
  </property>
  <property fmtid="{D5CDD505-2E9C-101B-9397-08002B2CF9AE}" pid="6" name="ICV">
    <vt:lpwstr>B8F09FFC5ECE42A0961D002B3600C4C4</vt:lpwstr>
  </property>
</Properties>
</file>