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val="0"/>
        <w:snapToGrid/>
        <w:spacing w:after="240" w:line="360" w:lineRule="auto"/>
        <w:ind w:left="0" w:leftChars="0" w:firstLine="482" w:firstLineChars="200"/>
        <w:jc w:val="center"/>
        <w:outlineLvl w:val="2"/>
        <w:rPr>
          <w:rFonts w:hint="eastAsia" w:ascii="宋体" w:hAnsi="宋体" w:eastAsia="宋体" w:cs="宋体"/>
          <w:b/>
          <w:bCs/>
          <w:sz w:val="24"/>
          <w:szCs w:val="24"/>
        </w:rPr>
      </w:pPr>
      <w:bookmarkStart w:id="0" w:name="七___中标人的确定"/>
      <w:bookmarkEnd w:id="0"/>
      <w:bookmarkStart w:id="1" w:name="_bookmark2"/>
      <w:bookmarkEnd w:id="1"/>
      <w:bookmarkStart w:id="2" w:name="第三部分_采购需求"/>
      <w:bookmarkEnd w:id="2"/>
      <w:r>
        <w:rPr>
          <w:rFonts w:hint="eastAsia" w:ascii="宋体" w:hAnsi="宋体" w:eastAsia="宋体" w:cs="宋体"/>
          <w:b/>
          <w:bCs/>
          <w:sz w:val="24"/>
          <w:szCs w:val="24"/>
        </w:rPr>
        <w:t>评分细则</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984"/>
        <w:gridCol w:w="6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510" w:type="dxa"/>
            <w:gridSpan w:val="2"/>
            <w:tcBorders>
              <w:tl2br w:val="single" w:color="auto" w:sz="4" w:space="0"/>
            </w:tcBorders>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b/>
                <w:bCs/>
                <w:sz w:val="24"/>
                <w:szCs w:val="24"/>
              </w:rPr>
            </w:pPr>
            <w:r>
              <w:rPr>
                <w:rFonts w:hint="eastAsia" w:ascii="宋体" w:hAnsi="宋体" w:eastAsia="宋体" w:cs="宋体"/>
                <w:b/>
                <w:bCs/>
                <w:sz w:val="24"/>
                <w:szCs w:val="24"/>
              </w:rPr>
              <w:t>细则</w:t>
            </w:r>
          </w:p>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b/>
                <w:bCs/>
                <w:sz w:val="24"/>
                <w:szCs w:val="24"/>
              </w:rPr>
            </w:pPr>
            <w:r>
              <w:rPr>
                <w:rFonts w:hint="eastAsia" w:ascii="宋体" w:hAnsi="宋体" w:eastAsia="宋体" w:cs="宋体"/>
                <w:b/>
                <w:bCs/>
                <w:sz w:val="24"/>
                <w:szCs w:val="24"/>
              </w:rPr>
              <w:t xml:space="preserve">项目               </w:t>
            </w:r>
          </w:p>
        </w:tc>
        <w:tc>
          <w:tcPr>
            <w:tcW w:w="6776"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center"/>
              <w:outlineLvl w:val="2"/>
              <w:rPr>
                <w:rFonts w:hint="eastAsia" w:ascii="宋体" w:hAnsi="宋体" w:eastAsia="宋体" w:cs="宋体"/>
                <w:b/>
                <w:bCs/>
                <w:sz w:val="24"/>
                <w:szCs w:val="24"/>
              </w:rPr>
            </w:pPr>
            <w:r>
              <w:rPr>
                <w:rFonts w:hint="eastAsia" w:ascii="宋体" w:hAnsi="宋体" w:eastAsia="宋体" w:cs="宋体"/>
                <w:b/>
                <w:bCs/>
                <w:sz w:val="24"/>
                <w:szCs w:val="24"/>
              </w:rPr>
              <w:t>分值细则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0" w:type="dxa"/>
            <w:gridSpan w:val="2"/>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center"/>
              <w:outlineLvl w:val="2"/>
              <w:rPr>
                <w:rFonts w:hint="eastAsia" w:ascii="宋体" w:hAnsi="宋体" w:eastAsia="宋体" w:cs="宋体"/>
                <w:b/>
                <w:bCs/>
                <w:sz w:val="24"/>
                <w:szCs w:val="24"/>
              </w:rPr>
            </w:pPr>
            <w:r>
              <w:rPr>
                <w:rFonts w:hint="eastAsia" w:ascii="宋体" w:hAnsi="宋体" w:eastAsia="宋体" w:cs="宋体"/>
                <w:b/>
                <w:bCs/>
                <w:sz w:val="24"/>
                <w:szCs w:val="24"/>
              </w:rPr>
              <w:t>价  格  分</w:t>
            </w:r>
          </w:p>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center"/>
              <w:outlineLvl w:val="2"/>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cs="宋体"/>
                <w:b/>
                <w:bCs/>
                <w:sz w:val="24"/>
                <w:szCs w:val="24"/>
                <w:lang w:val="en-US" w:eastAsia="zh-CN"/>
              </w:rPr>
              <w:t>20</w:t>
            </w:r>
            <w:r>
              <w:rPr>
                <w:rFonts w:hint="eastAsia" w:ascii="宋体" w:hAnsi="宋体" w:eastAsia="宋体" w:cs="宋体"/>
                <w:b/>
                <w:bCs/>
                <w:sz w:val="24"/>
                <w:szCs w:val="24"/>
              </w:rPr>
              <w:t>分）</w:t>
            </w:r>
          </w:p>
        </w:tc>
        <w:tc>
          <w:tcPr>
            <w:tcW w:w="6776" w:type="dxa"/>
            <w:vAlign w:val="center"/>
          </w:tcPr>
          <w:p>
            <w:pPr>
              <w:keepNext w:val="0"/>
              <w:keepLines w:val="0"/>
              <w:pageBreakBefore w:val="0"/>
              <w:kinsoku/>
              <w:wordWrap/>
              <w:overflowPunct/>
              <w:topLinePunct w:val="0"/>
              <w:bidi w:val="0"/>
              <w:adjustRightInd w:val="0"/>
              <w:snapToGrid/>
              <w:spacing w:before="45" w:line="360" w:lineRule="auto"/>
              <w:ind w:left="0" w:leftChars="0" w:right="-15" w:firstLine="480" w:firstLineChars="200"/>
              <w:jc w:val="both"/>
              <w:outlineLvl w:val="2"/>
              <w:rPr>
                <w:rFonts w:hint="eastAsia" w:ascii="宋体" w:hAnsi="宋体" w:eastAsia="宋体" w:cs="宋体"/>
                <w:sz w:val="24"/>
                <w:szCs w:val="24"/>
              </w:rPr>
            </w:pPr>
            <w:r>
              <w:rPr>
                <w:rFonts w:hint="eastAsia" w:ascii="宋体" w:hAnsi="宋体" w:eastAsia="宋体" w:cs="宋体"/>
                <w:sz w:val="24"/>
                <w:szCs w:val="24"/>
              </w:rPr>
              <w:t>价格分采用低价优先法计算，即满足招标文件要求且响应价格最低的响应报价为评标基准价，其价格分为满分。其他供应商的价格分统一按下列公式计算：响应报价得分=（评标基准价/响应报价）×</w:t>
            </w:r>
            <w:r>
              <w:rPr>
                <w:rFonts w:hint="eastAsia" w:cs="宋体"/>
                <w:sz w:val="24"/>
                <w:szCs w:val="24"/>
                <w:lang w:val="en-US" w:eastAsia="zh-CN"/>
              </w:rPr>
              <w:t>20</w:t>
            </w:r>
            <w:r>
              <w:rPr>
                <w:rFonts w:hint="eastAsia" w:ascii="宋体" w:hAnsi="宋体" w:eastAsia="宋体" w:cs="宋体"/>
                <w:sz w:val="24"/>
                <w:szCs w:val="24"/>
              </w:rPr>
              <w:t>%×100</w:t>
            </w:r>
          </w:p>
          <w:p>
            <w:pPr>
              <w:keepNext w:val="0"/>
              <w:keepLines w:val="0"/>
              <w:pageBreakBefore w:val="0"/>
              <w:kinsoku/>
              <w:wordWrap/>
              <w:overflowPunct/>
              <w:topLinePunct w:val="0"/>
              <w:bidi w:val="0"/>
              <w:adjustRightInd w:val="0"/>
              <w:snapToGrid/>
              <w:spacing w:before="45" w:line="360" w:lineRule="auto"/>
              <w:ind w:left="0" w:leftChars="0" w:right="-15" w:firstLine="458" w:firstLineChars="200"/>
              <w:jc w:val="both"/>
              <w:outlineLvl w:val="2"/>
              <w:rPr>
                <w:rFonts w:hint="eastAsia" w:ascii="宋体" w:hAnsi="宋体" w:eastAsia="宋体" w:cs="宋体"/>
                <w:b/>
                <w:w w:val="95"/>
                <w:sz w:val="24"/>
                <w:szCs w:val="24"/>
              </w:rPr>
            </w:pPr>
            <w:r>
              <w:rPr>
                <w:rFonts w:hint="eastAsia" w:ascii="宋体" w:hAnsi="宋体" w:eastAsia="宋体" w:cs="宋体"/>
                <w:b/>
                <w:w w:val="95"/>
                <w:sz w:val="24"/>
                <w:szCs w:val="24"/>
              </w:rPr>
              <w:t xml:space="preserve">注： </w:t>
            </w:r>
          </w:p>
          <w:p>
            <w:pPr>
              <w:keepNext w:val="0"/>
              <w:keepLines w:val="0"/>
              <w:pageBreakBefore w:val="0"/>
              <w:kinsoku/>
              <w:wordWrap/>
              <w:overflowPunct/>
              <w:topLinePunct w:val="0"/>
              <w:autoSpaceDE/>
              <w:autoSpaceDN/>
              <w:bidi w:val="0"/>
              <w:adjustRightInd w:val="0"/>
              <w:snapToGrid/>
              <w:spacing w:line="360" w:lineRule="auto"/>
              <w:ind w:left="0" w:leftChars="0" w:firstLine="482" w:firstLineChars="200"/>
              <w:jc w:val="both"/>
              <w:outlineLvl w:val="2"/>
              <w:rPr>
                <w:rFonts w:hint="eastAsia" w:ascii="宋体" w:hAnsi="宋体" w:eastAsia="宋体" w:cs="宋体"/>
                <w:b/>
                <w:sz w:val="24"/>
                <w:szCs w:val="24"/>
              </w:rPr>
            </w:pPr>
            <w:r>
              <w:rPr>
                <w:rFonts w:hint="eastAsia" w:ascii="宋体" w:hAnsi="宋体" w:eastAsia="宋体" w:cs="宋体"/>
                <w:b/>
                <w:sz w:val="24"/>
                <w:szCs w:val="24"/>
              </w:rPr>
              <w:t xml:space="preserve">1.本项目控制价为人民币 </w:t>
            </w:r>
            <w:r>
              <w:rPr>
                <w:rFonts w:hint="eastAsia" w:cs="宋体"/>
                <w:b/>
                <w:sz w:val="24"/>
                <w:szCs w:val="24"/>
                <w:lang w:val="en-US" w:eastAsia="zh-CN"/>
              </w:rPr>
              <w:t>300</w:t>
            </w:r>
            <w:r>
              <w:rPr>
                <w:rFonts w:hint="eastAsia" w:ascii="宋体" w:hAnsi="宋体" w:eastAsia="宋体" w:cs="宋体"/>
                <w:b/>
                <w:sz w:val="24"/>
                <w:szCs w:val="24"/>
              </w:rPr>
              <w:t>元</w:t>
            </w:r>
            <w:r>
              <w:rPr>
                <w:rFonts w:hint="eastAsia" w:cs="宋体"/>
                <w:b/>
                <w:sz w:val="24"/>
                <w:szCs w:val="24"/>
                <w:lang w:val="en-US" w:eastAsia="zh-CN"/>
              </w:rPr>
              <w:t>/人/天</w:t>
            </w:r>
            <w:r>
              <w:rPr>
                <w:rFonts w:hint="eastAsia" w:ascii="宋体" w:hAnsi="宋体" w:eastAsia="宋体" w:cs="宋体"/>
                <w:b/>
                <w:sz w:val="24"/>
                <w:szCs w:val="24"/>
              </w:rPr>
              <w:t>。供应商的报价不得超过此限价，否则将作无效投标处理。</w:t>
            </w:r>
          </w:p>
          <w:p>
            <w:pPr>
              <w:keepNext w:val="0"/>
              <w:keepLines w:val="0"/>
              <w:pageBreakBefore w:val="0"/>
              <w:tabs>
                <w:tab w:val="left" w:pos="6832"/>
              </w:tabs>
              <w:kinsoku/>
              <w:wordWrap/>
              <w:overflowPunct/>
              <w:topLinePunct w:val="0"/>
              <w:bidi w:val="0"/>
              <w:adjustRightInd w:val="0"/>
              <w:snapToGrid/>
              <w:spacing w:line="360" w:lineRule="auto"/>
              <w:ind w:left="0" w:leftChars="0" w:firstLine="478" w:firstLineChars="200"/>
              <w:jc w:val="both"/>
              <w:outlineLvl w:val="2"/>
              <w:rPr>
                <w:rFonts w:hint="eastAsia" w:ascii="宋体" w:hAnsi="宋体" w:eastAsia="宋体" w:cs="宋体"/>
                <w:sz w:val="24"/>
                <w:szCs w:val="24"/>
              </w:rPr>
            </w:pPr>
            <w:r>
              <w:rPr>
                <w:rFonts w:hint="eastAsia" w:ascii="宋体" w:hAnsi="宋体" w:eastAsia="宋体" w:cs="宋体"/>
                <w:b/>
                <w:spacing w:val="-1"/>
                <w:sz w:val="24"/>
                <w:szCs w:val="24"/>
              </w:rPr>
              <w:t>2.评标委员会认为投标人的报价明显低于其他通过符合性审查投标人的报价，有可能影响服务质量或者不能诚信履约的，应当要求其在评标现场合理的时间内提供书面说明，必要时提交相关证明材料；投标人</w:t>
            </w:r>
            <w:r>
              <w:rPr>
                <w:rFonts w:hint="eastAsia" w:ascii="宋体" w:hAnsi="宋体" w:eastAsia="宋体" w:cs="宋体"/>
                <w:b/>
                <w:sz w:val="24"/>
                <w:szCs w:val="24"/>
              </w:rPr>
              <w:t>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526" w:type="dxa"/>
            <w:vMerge w:val="restart"/>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b/>
                <w:bCs/>
                <w:sz w:val="24"/>
                <w:szCs w:val="24"/>
              </w:rPr>
            </w:pPr>
            <w:r>
              <w:rPr>
                <w:rFonts w:hint="eastAsia" w:ascii="宋体" w:hAnsi="宋体" w:eastAsia="宋体" w:cs="宋体"/>
                <w:b/>
                <w:bCs/>
                <w:sz w:val="24"/>
                <w:szCs w:val="24"/>
              </w:rPr>
              <w:t>技术分（</w:t>
            </w:r>
            <w:r>
              <w:rPr>
                <w:rFonts w:hint="eastAsia" w:cs="宋体"/>
                <w:b/>
                <w:bCs/>
                <w:sz w:val="24"/>
                <w:szCs w:val="24"/>
                <w:lang w:val="en-US" w:eastAsia="zh-CN"/>
              </w:rPr>
              <w:t>80</w:t>
            </w:r>
            <w:r>
              <w:rPr>
                <w:rFonts w:hint="eastAsia" w:ascii="宋体" w:hAnsi="宋体" w:eastAsia="宋体" w:cs="宋体"/>
                <w:b/>
                <w:bCs/>
                <w:sz w:val="24"/>
                <w:szCs w:val="24"/>
              </w:rPr>
              <w:t>）</w:t>
            </w:r>
          </w:p>
        </w:tc>
        <w:tc>
          <w:tcPr>
            <w:tcW w:w="1984" w:type="dxa"/>
            <w:vMerge w:val="restart"/>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b/>
                <w:bCs/>
                <w:sz w:val="24"/>
                <w:szCs w:val="24"/>
              </w:rPr>
            </w:pPr>
            <w:r>
              <w:rPr>
                <w:rFonts w:hint="eastAsia" w:cs="宋体"/>
                <w:b/>
                <w:bCs/>
                <w:sz w:val="24"/>
                <w:szCs w:val="24"/>
                <w:lang w:eastAsia="zh-CN"/>
              </w:rPr>
              <w:t>物业</w:t>
            </w:r>
            <w:r>
              <w:rPr>
                <w:rFonts w:hint="eastAsia" w:ascii="宋体" w:hAnsi="宋体" w:eastAsia="宋体" w:cs="宋体"/>
                <w:b/>
                <w:bCs/>
                <w:sz w:val="24"/>
                <w:szCs w:val="24"/>
              </w:rPr>
              <w:t>服务总体方案（</w:t>
            </w:r>
            <w:r>
              <w:rPr>
                <w:rFonts w:hint="eastAsia" w:cs="宋体"/>
                <w:b/>
                <w:bCs/>
                <w:sz w:val="24"/>
                <w:szCs w:val="24"/>
                <w:lang w:val="en-US" w:eastAsia="zh-CN"/>
              </w:rPr>
              <w:t>20</w:t>
            </w:r>
            <w:r>
              <w:rPr>
                <w:rFonts w:hint="eastAsia" w:ascii="宋体" w:hAnsi="宋体" w:eastAsia="宋体" w:cs="宋体"/>
                <w:b/>
                <w:bCs/>
                <w:sz w:val="24"/>
                <w:szCs w:val="24"/>
              </w:rPr>
              <w:t>分）</w:t>
            </w:r>
          </w:p>
        </w:tc>
        <w:tc>
          <w:tcPr>
            <w:tcW w:w="6776"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r>
              <w:rPr>
                <w:rFonts w:hint="eastAsia" w:ascii="宋体" w:hAnsi="宋体" w:eastAsia="宋体" w:cs="宋体"/>
                <w:sz w:val="24"/>
                <w:szCs w:val="24"/>
                <w:lang w:eastAsia="zh-CN"/>
              </w:rPr>
              <w:t>物业</w:t>
            </w:r>
            <w:r>
              <w:rPr>
                <w:rFonts w:hint="eastAsia" w:ascii="宋体" w:hAnsi="宋体" w:eastAsia="宋体" w:cs="宋体"/>
                <w:sz w:val="24"/>
                <w:szCs w:val="24"/>
              </w:rPr>
              <w:t>服务总体管理模式。</w:t>
            </w:r>
            <w:r>
              <w:rPr>
                <w:rFonts w:hint="eastAsia" w:cs="宋体"/>
                <w:sz w:val="24"/>
                <w:szCs w:val="24"/>
                <w:lang w:eastAsia="zh-CN"/>
              </w:rPr>
              <w:t>人员到位方案。</w:t>
            </w:r>
            <w:r>
              <w:rPr>
                <w:rFonts w:hint="eastAsia" w:ascii="宋体" w:hAnsi="宋体" w:eastAsia="宋体" w:cs="宋体"/>
                <w:sz w:val="24"/>
                <w:szCs w:val="24"/>
              </w:rPr>
              <w:t>[0-</w:t>
            </w:r>
            <w:r>
              <w:rPr>
                <w:rFonts w:hint="eastAsia" w:ascii="宋体" w:hAnsi="宋体" w:eastAsia="宋体" w:cs="宋体"/>
                <w:sz w:val="24"/>
                <w:szCs w:val="24"/>
                <w:lang w:val="en-US" w:eastAsia="zh-CN"/>
              </w:rPr>
              <w:t>1</w:t>
            </w:r>
            <w:r>
              <w:rPr>
                <w:rFonts w:hint="eastAsia" w:cs="宋体"/>
                <w:sz w:val="24"/>
                <w:szCs w:val="24"/>
                <w:lang w:val="en-US" w:eastAsia="zh-CN"/>
              </w:rPr>
              <w:t>5</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p>
        </w:tc>
        <w:tc>
          <w:tcPr>
            <w:tcW w:w="1984" w:type="dxa"/>
            <w:vMerge w:val="continue"/>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b/>
                <w:bCs/>
                <w:sz w:val="24"/>
                <w:szCs w:val="24"/>
              </w:rPr>
            </w:pPr>
          </w:p>
        </w:tc>
        <w:tc>
          <w:tcPr>
            <w:tcW w:w="6776"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r>
              <w:rPr>
                <w:rFonts w:hint="eastAsia" w:ascii="宋体" w:hAnsi="宋体" w:eastAsia="宋体" w:cs="宋体"/>
                <w:sz w:val="24"/>
                <w:szCs w:val="24"/>
              </w:rPr>
              <w:t>设立明确管理目标，标准管理和具体的工作组织实施方案等</w:t>
            </w:r>
            <w:r>
              <w:rPr>
                <w:rFonts w:hint="eastAsia" w:ascii="宋体" w:hAnsi="宋体" w:eastAsia="宋体" w:cs="宋体"/>
                <w:sz w:val="24"/>
                <w:szCs w:val="24"/>
                <w:lang w:eastAsia="zh-CN"/>
              </w:rPr>
              <w:t>，包含但不仅限于</w:t>
            </w:r>
            <w:r>
              <w:rPr>
                <w:rFonts w:hint="eastAsia" w:ascii="宋体" w:hAnsi="宋体" w:eastAsia="宋体" w:cs="宋体"/>
                <w:sz w:val="24"/>
                <w:szCs w:val="24"/>
              </w:rPr>
              <w:t>服务组织机构设置（附组织机构图）、运作流程（附运作流程图）、激励机制、监督机制、自我约束机制和信息反馈渠道及处理机制。[0-</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p>
        </w:tc>
        <w:tc>
          <w:tcPr>
            <w:tcW w:w="1984"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b/>
                <w:bCs/>
                <w:sz w:val="24"/>
                <w:szCs w:val="24"/>
              </w:rPr>
            </w:pPr>
            <w:r>
              <w:rPr>
                <w:rFonts w:hint="eastAsia" w:ascii="宋体" w:hAnsi="宋体" w:eastAsia="宋体" w:cs="宋体"/>
                <w:b/>
                <w:bCs/>
                <w:sz w:val="24"/>
                <w:szCs w:val="24"/>
              </w:rPr>
              <w:t>院感、质控方案（</w:t>
            </w:r>
            <w:r>
              <w:rPr>
                <w:rFonts w:hint="eastAsia" w:cs="宋体"/>
                <w:b/>
                <w:bCs/>
                <w:sz w:val="24"/>
                <w:szCs w:val="24"/>
                <w:lang w:val="en-US" w:eastAsia="zh-CN"/>
              </w:rPr>
              <w:t>15</w:t>
            </w:r>
            <w:r>
              <w:rPr>
                <w:rFonts w:hint="eastAsia" w:ascii="宋体" w:hAnsi="宋体" w:eastAsia="宋体" w:cs="宋体"/>
                <w:b/>
                <w:bCs/>
                <w:sz w:val="24"/>
                <w:szCs w:val="24"/>
              </w:rPr>
              <w:t>分）</w:t>
            </w:r>
          </w:p>
        </w:tc>
        <w:tc>
          <w:tcPr>
            <w:tcW w:w="6776"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r>
              <w:rPr>
                <w:rFonts w:hint="eastAsia" w:ascii="宋体" w:hAnsi="宋体" w:eastAsia="宋体" w:cs="宋体"/>
                <w:sz w:val="24"/>
                <w:szCs w:val="24"/>
              </w:rPr>
              <w:t>针对投标人在服务本项目过程中提供的防止交叉感染、消毒隔离措施</w:t>
            </w:r>
            <w:r>
              <w:rPr>
                <w:rFonts w:hint="eastAsia" w:ascii="宋体" w:hAnsi="宋体" w:eastAsia="宋体" w:cs="宋体"/>
                <w:sz w:val="24"/>
                <w:szCs w:val="24"/>
                <w:lang w:eastAsia="zh-CN"/>
              </w:rPr>
              <w:t>、</w:t>
            </w:r>
            <w:r>
              <w:rPr>
                <w:rFonts w:hint="eastAsia" w:ascii="宋体" w:hAnsi="宋体" w:eastAsia="宋体" w:cs="宋体"/>
                <w:b w:val="0"/>
                <w:bCs w:val="0"/>
                <w:sz w:val="24"/>
                <w:szCs w:val="24"/>
              </w:rPr>
              <w:t>职业暴露处置等医</w:t>
            </w:r>
            <w:r>
              <w:rPr>
                <w:rFonts w:hint="eastAsia" w:ascii="宋体" w:hAnsi="宋体" w:eastAsia="宋体" w:cs="宋体"/>
                <w:sz w:val="24"/>
                <w:szCs w:val="24"/>
              </w:rPr>
              <w:t>院感染控制方案由评委进行打分:方案完整、详细、具体、可行性强的</w:t>
            </w:r>
            <w:r>
              <w:rPr>
                <w:rFonts w:hint="eastAsia" w:cs="宋体"/>
                <w:sz w:val="24"/>
                <w:szCs w:val="24"/>
                <w:lang w:val="en-US" w:eastAsia="zh-CN"/>
              </w:rPr>
              <w:t>15</w:t>
            </w:r>
            <w:r>
              <w:rPr>
                <w:rFonts w:hint="eastAsia" w:ascii="宋体" w:hAnsi="宋体" w:eastAsia="宋体" w:cs="宋体"/>
                <w:sz w:val="24"/>
                <w:szCs w:val="24"/>
              </w:rPr>
              <w:t>分;方案不够周全详细、具体、完善、可行性一般的得</w:t>
            </w:r>
            <w:r>
              <w:rPr>
                <w:rFonts w:hint="eastAsia" w:cs="宋体"/>
                <w:sz w:val="24"/>
                <w:szCs w:val="24"/>
                <w:lang w:val="en-US" w:eastAsia="zh-CN"/>
              </w:rPr>
              <w:t>10</w:t>
            </w:r>
            <w:r>
              <w:rPr>
                <w:rFonts w:hint="eastAsia" w:ascii="宋体" w:hAnsi="宋体" w:eastAsia="宋体" w:cs="宋体"/>
                <w:sz w:val="24"/>
                <w:szCs w:val="24"/>
              </w:rPr>
              <w:t>分;方案不周全详细、具体、可行性较差的得</w:t>
            </w:r>
            <w:r>
              <w:rPr>
                <w:rFonts w:hint="eastAsia" w:cs="宋体"/>
                <w:sz w:val="24"/>
                <w:szCs w:val="24"/>
                <w:lang w:val="en-US" w:eastAsia="zh-CN"/>
              </w:rPr>
              <w:t>5</w:t>
            </w:r>
            <w:r>
              <w:rPr>
                <w:rFonts w:hint="eastAsia" w:ascii="宋体" w:hAnsi="宋体" w:eastAsia="宋体" w:cs="宋体"/>
                <w:sz w:val="24"/>
                <w:szCs w:val="24"/>
              </w:rPr>
              <w:t>分;未提供的不得分。(满分</w:t>
            </w:r>
            <w:r>
              <w:rPr>
                <w:rFonts w:hint="eastAsia" w:cs="宋体"/>
                <w:sz w:val="24"/>
                <w:szCs w:val="24"/>
                <w:lang w:val="en-US" w:eastAsia="zh-CN"/>
              </w:rPr>
              <w:t>15</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p>
        </w:tc>
        <w:tc>
          <w:tcPr>
            <w:tcW w:w="1984"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b/>
                <w:bCs/>
                <w:sz w:val="24"/>
                <w:szCs w:val="24"/>
              </w:rPr>
            </w:pPr>
            <w:r>
              <w:rPr>
                <w:rFonts w:hint="eastAsia" w:ascii="宋体" w:hAnsi="宋体" w:eastAsia="宋体" w:cs="宋体"/>
                <w:b/>
                <w:bCs/>
                <w:sz w:val="24"/>
                <w:szCs w:val="24"/>
                <w:lang w:eastAsia="zh-CN"/>
              </w:rPr>
              <w:t>应急方案（</w:t>
            </w:r>
            <w:r>
              <w:rPr>
                <w:rFonts w:hint="eastAsia" w:cs="宋体"/>
                <w:b/>
                <w:bCs/>
                <w:sz w:val="24"/>
                <w:szCs w:val="24"/>
                <w:lang w:val="en-US" w:eastAsia="zh-CN"/>
              </w:rPr>
              <w:t>8</w:t>
            </w:r>
            <w:r>
              <w:rPr>
                <w:rFonts w:hint="eastAsia" w:ascii="宋体" w:hAnsi="宋体" w:eastAsia="宋体" w:cs="宋体"/>
                <w:b/>
                <w:bCs/>
                <w:sz w:val="24"/>
                <w:szCs w:val="24"/>
              </w:rPr>
              <w:t>分）</w:t>
            </w:r>
          </w:p>
        </w:tc>
        <w:tc>
          <w:tcPr>
            <w:tcW w:w="6776"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40" w:firstLineChars="200"/>
              <w:jc w:val="both"/>
              <w:outlineLvl w:val="2"/>
              <w:rPr>
                <w:rFonts w:hint="eastAsia" w:ascii="宋体" w:hAnsi="宋体" w:eastAsia="宋体" w:cs="宋体"/>
                <w:sz w:val="24"/>
                <w:szCs w:val="24"/>
              </w:rPr>
            </w:pPr>
            <w:r>
              <w:rPr>
                <w:rFonts w:hint="eastAsia" w:ascii="宋体" w:hAnsi="宋体" w:eastAsia="宋体" w:cs="宋体"/>
                <w:color w:val="auto"/>
                <w:kern w:val="0"/>
                <w:sz w:val="22"/>
                <w:szCs w:val="22"/>
              </w:rPr>
              <w:t>综合评审各投标人在</w:t>
            </w:r>
            <w:r>
              <w:rPr>
                <w:rFonts w:hint="eastAsia" w:ascii="宋体" w:hAnsi="宋体" w:eastAsia="宋体" w:cs="宋体"/>
                <w:bCs/>
                <w:color w:val="auto"/>
                <w:kern w:val="0"/>
                <w:sz w:val="22"/>
                <w:szCs w:val="22"/>
              </w:rPr>
              <w:t>处理各类突发事件</w:t>
            </w:r>
            <w:r>
              <w:rPr>
                <w:rFonts w:hint="eastAsia" w:ascii="宋体" w:hAnsi="宋体" w:eastAsia="宋体" w:cs="宋体"/>
                <w:color w:val="auto"/>
                <w:kern w:val="0"/>
                <w:sz w:val="22"/>
                <w:szCs w:val="22"/>
              </w:rPr>
              <w:t>的应急方案的全面性、适用性、可执行性等进行打分。</w:t>
            </w:r>
            <w:r>
              <w:rPr>
                <w:rFonts w:hint="eastAsia" w:ascii="宋体" w:hAnsi="宋体" w:eastAsia="宋体" w:cs="宋体"/>
                <w:sz w:val="24"/>
                <w:szCs w:val="24"/>
              </w:rPr>
              <w:t>[0-</w:t>
            </w:r>
            <w:r>
              <w:rPr>
                <w:rFonts w:hint="eastAsia" w:cs="宋体"/>
                <w:sz w:val="24"/>
                <w:szCs w:val="24"/>
                <w:lang w:val="en-US" w:eastAsia="zh-CN"/>
              </w:rPr>
              <w:t>8</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1526" w:type="dxa"/>
            <w:vMerge w:val="continue"/>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p>
        </w:tc>
        <w:tc>
          <w:tcPr>
            <w:tcW w:w="1984"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b/>
                <w:bCs/>
                <w:sz w:val="24"/>
                <w:szCs w:val="24"/>
              </w:rPr>
            </w:pPr>
            <w:r>
              <w:rPr>
                <w:rFonts w:hint="eastAsia" w:ascii="宋体" w:hAnsi="宋体" w:eastAsia="宋体" w:cs="宋体"/>
                <w:b/>
                <w:bCs/>
                <w:sz w:val="24"/>
                <w:szCs w:val="24"/>
              </w:rPr>
              <w:t>考核标准方案（</w:t>
            </w:r>
            <w:r>
              <w:rPr>
                <w:rFonts w:hint="eastAsia" w:cs="宋体"/>
                <w:b/>
                <w:bCs/>
                <w:sz w:val="24"/>
                <w:szCs w:val="24"/>
                <w:lang w:val="en-US" w:eastAsia="zh-CN"/>
              </w:rPr>
              <w:t>5</w:t>
            </w:r>
            <w:r>
              <w:rPr>
                <w:rFonts w:hint="eastAsia" w:ascii="宋体" w:hAnsi="宋体" w:eastAsia="宋体" w:cs="宋体"/>
                <w:b/>
                <w:bCs/>
                <w:sz w:val="24"/>
                <w:szCs w:val="24"/>
              </w:rPr>
              <w:t>分）</w:t>
            </w:r>
          </w:p>
        </w:tc>
        <w:tc>
          <w:tcPr>
            <w:tcW w:w="6776"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r>
              <w:rPr>
                <w:rFonts w:hint="eastAsia" w:ascii="宋体" w:hAnsi="宋体" w:eastAsia="宋体" w:cs="宋体"/>
                <w:sz w:val="24"/>
                <w:szCs w:val="24"/>
              </w:rPr>
              <w:t>投标人提供</w:t>
            </w:r>
            <w:r>
              <w:rPr>
                <w:rFonts w:hint="eastAsia" w:cs="宋体"/>
                <w:sz w:val="24"/>
                <w:szCs w:val="24"/>
                <w:lang w:eastAsia="zh-CN"/>
              </w:rPr>
              <w:t>物业</w:t>
            </w:r>
            <w:r>
              <w:rPr>
                <w:rFonts w:hint="eastAsia" w:ascii="宋体" w:hAnsi="宋体" w:eastAsia="宋体" w:cs="宋体"/>
                <w:sz w:val="24"/>
                <w:szCs w:val="24"/>
              </w:rPr>
              <w:t>服务的管理人员及员工的考核内容、标准、方法。由评委进行打分:方案完整、详细、具体、可行性强的</w:t>
            </w:r>
            <w:r>
              <w:rPr>
                <w:rFonts w:hint="eastAsia" w:cs="宋体"/>
                <w:sz w:val="24"/>
                <w:szCs w:val="24"/>
                <w:lang w:val="en-US" w:eastAsia="zh-CN"/>
              </w:rPr>
              <w:t>5</w:t>
            </w:r>
            <w:r>
              <w:rPr>
                <w:rFonts w:hint="eastAsia" w:ascii="宋体" w:hAnsi="宋体" w:eastAsia="宋体" w:cs="宋体"/>
                <w:sz w:val="24"/>
                <w:szCs w:val="24"/>
              </w:rPr>
              <w:t>分;方案不够周全详细、具体、完善、可行性一般的得</w:t>
            </w:r>
            <w:r>
              <w:rPr>
                <w:rFonts w:hint="eastAsia" w:ascii="宋体" w:hAnsi="宋体" w:eastAsia="宋体" w:cs="宋体"/>
                <w:sz w:val="24"/>
                <w:szCs w:val="24"/>
                <w:lang w:val="en-US" w:eastAsia="zh-CN"/>
              </w:rPr>
              <w:t>2</w:t>
            </w:r>
            <w:r>
              <w:rPr>
                <w:rFonts w:hint="eastAsia" w:ascii="宋体" w:hAnsi="宋体" w:eastAsia="宋体" w:cs="宋体"/>
                <w:sz w:val="24"/>
                <w:szCs w:val="24"/>
              </w:rPr>
              <w:t>分;方案不周全详细、具体、可行性较差的得</w:t>
            </w:r>
            <w:r>
              <w:rPr>
                <w:rFonts w:hint="eastAsia" w:ascii="宋体" w:hAnsi="宋体" w:eastAsia="宋体" w:cs="宋体"/>
                <w:sz w:val="24"/>
                <w:szCs w:val="24"/>
                <w:lang w:val="en-US" w:eastAsia="zh-CN"/>
              </w:rPr>
              <w:t>1</w:t>
            </w:r>
            <w:r>
              <w:rPr>
                <w:rFonts w:hint="eastAsia" w:ascii="宋体" w:hAnsi="宋体" w:eastAsia="宋体" w:cs="宋体"/>
                <w:sz w:val="24"/>
                <w:szCs w:val="24"/>
              </w:rPr>
              <w:t>分;未提供的不得分。(满分</w:t>
            </w:r>
            <w:r>
              <w:rPr>
                <w:rFonts w:hint="eastAsia" w:cs="宋体"/>
                <w:sz w:val="24"/>
                <w:szCs w:val="24"/>
                <w:lang w:val="en-US" w:eastAsia="zh-CN"/>
              </w:rPr>
              <w:t>5</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p>
        </w:tc>
        <w:tc>
          <w:tcPr>
            <w:tcW w:w="1984"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b/>
                <w:bCs/>
                <w:sz w:val="24"/>
                <w:szCs w:val="24"/>
                <w:highlight w:val="yellow"/>
              </w:rPr>
            </w:pPr>
            <w:r>
              <w:rPr>
                <w:rFonts w:hint="eastAsia" w:ascii="宋体" w:hAnsi="宋体" w:eastAsia="宋体" w:cs="宋体"/>
                <w:b/>
                <w:bCs/>
                <w:sz w:val="24"/>
                <w:szCs w:val="24"/>
              </w:rPr>
              <w:t>设备工具（</w:t>
            </w:r>
            <w:r>
              <w:rPr>
                <w:rFonts w:hint="eastAsia" w:cs="宋体"/>
                <w:b/>
                <w:bCs/>
                <w:sz w:val="24"/>
                <w:szCs w:val="24"/>
                <w:lang w:val="en-US" w:eastAsia="zh-CN"/>
              </w:rPr>
              <w:t>5</w:t>
            </w:r>
            <w:r>
              <w:rPr>
                <w:rFonts w:hint="eastAsia" w:ascii="宋体" w:hAnsi="宋体" w:eastAsia="宋体" w:cs="宋体"/>
                <w:b/>
                <w:bCs/>
                <w:sz w:val="24"/>
                <w:szCs w:val="24"/>
              </w:rPr>
              <w:t>分）</w:t>
            </w:r>
          </w:p>
        </w:tc>
        <w:tc>
          <w:tcPr>
            <w:tcW w:w="6776"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highlight w:val="yellow"/>
              </w:rPr>
            </w:pPr>
            <w:r>
              <w:rPr>
                <w:rFonts w:hint="eastAsia" w:ascii="宋体" w:hAnsi="宋体" w:eastAsia="宋体" w:cs="宋体"/>
                <w:sz w:val="24"/>
                <w:szCs w:val="24"/>
              </w:rPr>
              <w:t>根据投标人针对本项目制定的物资配备及管理方案(包含但不限于投入的物资(含耗材)配备、品牌型号规格数量等情况)由评委进行打分:方案详细、具体、可行性强的</w:t>
            </w:r>
            <w:r>
              <w:rPr>
                <w:rFonts w:hint="eastAsia" w:cs="宋体"/>
                <w:sz w:val="24"/>
                <w:szCs w:val="24"/>
                <w:lang w:val="en-US" w:eastAsia="zh-CN"/>
              </w:rPr>
              <w:t>5</w:t>
            </w:r>
            <w:r>
              <w:rPr>
                <w:rFonts w:hint="eastAsia" w:ascii="宋体" w:hAnsi="宋体" w:eastAsia="宋体" w:cs="宋体"/>
                <w:sz w:val="24"/>
                <w:szCs w:val="24"/>
              </w:rPr>
              <w:t>分;方案不够周全详细、具体、可行性一般的得</w:t>
            </w:r>
            <w:r>
              <w:rPr>
                <w:rFonts w:hint="eastAsia" w:ascii="宋体" w:hAnsi="宋体" w:eastAsia="宋体" w:cs="宋体"/>
                <w:sz w:val="24"/>
                <w:szCs w:val="24"/>
                <w:lang w:val="en-US" w:eastAsia="zh-CN"/>
              </w:rPr>
              <w:t>2</w:t>
            </w:r>
            <w:r>
              <w:rPr>
                <w:rFonts w:hint="eastAsia" w:ascii="宋体" w:hAnsi="宋体" w:eastAsia="宋体" w:cs="宋体"/>
                <w:sz w:val="24"/>
                <w:szCs w:val="24"/>
              </w:rPr>
              <w:t>分;方案不周全详细、具体、可行性较差的得</w:t>
            </w:r>
            <w:r>
              <w:rPr>
                <w:rFonts w:hint="eastAsia" w:ascii="宋体" w:hAnsi="宋体" w:eastAsia="宋体" w:cs="宋体"/>
                <w:sz w:val="24"/>
                <w:szCs w:val="24"/>
                <w:lang w:val="en-US" w:eastAsia="zh-CN"/>
              </w:rPr>
              <w:t>1</w:t>
            </w:r>
            <w:r>
              <w:rPr>
                <w:rFonts w:hint="eastAsia" w:ascii="宋体" w:hAnsi="宋体" w:eastAsia="宋体" w:cs="宋体"/>
                <w:sz w:val="24"/>
                <w:szCs w:val="24"/>
              </w:rPr>
              <w:t>分:未提供的不得分。(满分</w:t>
            </w:r>
            <w:r>
              <w:rPr>
                <w:rFonts w:hint="eastAsia" w:cs="宋体"/>
                <w:sz w:val="24"/>
                <w:szCs w:val="24"/>
                <w:lang w:val="en-US" w:eastAsia="zh-CN"/>
              </w:rPr>
              <w:t>5</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restart"/>
            <w:vAlign w:val="center"/>
          </w:tcPr>
          <w:p>
            <w:pPr>
              <w:keepNext w:val="0"/>
              <w:keepLines w:val="0"/>
              <w:pageBreakBefore w:val="0"/>
              <w:tabs>
                <w:tab w:val="left" w:pos="6832"/>
              </w:tabs>
              <w:kinsoku/>
              <w:wordWrap/>
              <w:overflowPunct/>
              <w:topLinePunct w:val="0"/>
              <w:bidi w:val="0"/>
              <w:adjustRightInd w:val="0"/>
              <w:snapToGrid/>
              <w:spacing w:line="360" w:lineRule="auto"/>
              <w:jc w:val="both"/>
              <w:outlineLvl w:val="2"/>
              <w:rPr>
                <w:rFonts w:hint="eastAsia" w:ascii="宋体" w:hAnsi="宋体" w:eastAsia="宋体" w:cs="宋体"/>
                <w:b/>
                <w:bCs/>
                <w:sz w:val="24"/>
                <w:szCs w:val="24"/>
              </w:rPr>
            </w:pPr>
          </w:p>
        </w:tc>
        <w:tc>
          <w:tcPr>
            <w:tcW w:w="1984"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center"/>
              <w:outlineLvl w:val="2"/>
              <w:rPr>
                <w:rFonts w:hint="eastAsia" w:ascii="宋体" w:hAnsi="宋体" w:eastAsia="宋体" w:cs="宋体"/>
                <w:b/>
                <w:bCs/>
                <w:sz w:val="24"/>
                <w:szCs w:val="24"/>
              </w:rPr>
            </w:pPr>
            <w:r>
              <w:rPr>
                <w:rFonts w:hint="eastAsia" w:ascii="宋体" w:hAnsi="宋体" w:eastAsia="宋体" w:cs="宋体"/>
                <w:b/>
                <w:bCs/>
                <w:sz w:val="24"/>
                <w:szCs w:val="24"/>
              </w:rPr>
              <w:t>企业资信</w:t>
            </w:r>
          </w:p>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center"/>
              <w:outlineLvl w:val="2"/>
              <w:rPr>
                <w:rFonts w:hint="eastAsia" w:ascii="宋体" w:hAnsi="宋体" w:eastAsia="宋体" w:cs="宋体"/>
                <w:sz w:val="24"/>
                <w:szCs w:val="24"/>
              </w:rPr>
            </w:pPr>
            <w:r>
              <w:rPr>
                <w:rFonts w:hint="eastAsia" w:ascii="宋体" w:hAnsi="宋体" w:eastAsia="宋体" w:cs="宋体"/>
                <w:b/>
                <w:bCs/>
                <w:sz w:val="24"/>
                <w:szCs w:val="24"/>
              </w:rPr>
              <w:t>（</w:t>
            </w:r>
            <w:r>
              <w:rPr>
                <w:rFonts w:hint="eastAsia" w:cs="宋体"/>
                <w:b/>
                <w:bCs/>
                <w:sz w:val="24"/>
                <w:szCs w:val="24"/>
                <w:lang w:val="en-US" w:eastAsia="zh-CN"/>
              </w:rPr>
              <w:t>9</w:t>
            </w:r>
            <w:r>
              <w:rPr>
                <w:rFonts w:hint="eastAsia" w:ascii="宋体" w:hAnsi="宋体" w:eastAsia="宋体" w:cs="宋体"/>
                <w:b/>
                <w:bCs/>
                <w:sz w:val="24"/>
                <w:szCs w:val="24"/>
              </w:rPr>
              <w:t>分）</w:t>
            </w:r>
          </w:p>
        </w:tc>
        <w:tc>
          <w:tcPr>
            <w:tcW w:w="6776"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lang w:val="en-US"/>
              </w:rPr>
            </w:pPr>
            <w:r>
              <w:rPr>
                <w:rFonts w:hint="eastAsia" w:ascii="宋体" w:hAnsi="宋体" w:eastAsia="宋体" w:cs="宋体"/>
                <w:sz w:val="24"/>
                <w:szCs w:val="24"/>
                <w:lang w:val="en-US"/>
              </w:rPr>
              <w:t>1、具有有效的ISO9001质量管理体系认证证书得</w:t>
            </w:r>
            <w:r>
              <w:rPr>
                <w:rFonts w:hint="eastAsia" w:ascii="宋体" w:hAnsi="宋体" w:eastAsia="宋体" w:cs="宋体"/>
                <w:sz w:val="24"/>
                <w:szCs w:val="24"/>
                <w:lang w:val="en-US" w:eastAsia="zh-CN"/>
              </w:rPr>
              <w:t>3</w:t>
            </w:r>
            <w:r>
              <w:rPr>
                <w:rFonts w:hint="eastAsia" w:ascii="宋体" w:hAnsi="宋体" w:eastAsia="宋体" w:cs="宋体"/>
                <w:sz w:val="24"/>
                <w:szCs w:val="24"/>
                <w:lang w:val="en-US"/>
              </w:rPr>
              <w:t>分；</w:t>
            </w:r>
          </w:p>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lang w:val="en-US"/>
              </w:rPr>
            </w:pPr>
            <w:r>
              <w:rPr>
                <w:rFonts w:hint="eastAsia" w:ascii="宋体" w:hAnsi="宋体" w:eastAsia="宋体" w:cs="宋体"/>
                <w:sz w:val="24"/>
                <w:szCs w:val="24"/>
                <w:lang w:val="en-US"/>
              </w:rPr>
              <w:t>2、具有有效的ISO14001环境管理体系认证证书得</w:t>
            </w:r>
            <w:r>
              <w:rPr>
                <w:rFonts w:hint="eastAsia" w:ascii="宋体" w:hAnsi="宋体" w:eastAsia="宋体" w:cs="宋体"/>
                <w:sz w:val="24"/>
                <w:szCs w:val="24"/>
                <w:lang w:val="en-US" w:eastAsia="zh-CN"/>
              </w:rPr>
              <w:t>3</w:t>
            </w:r>
            <w:r>
              <w:rPr>
                <w:rFonts w:hint="eastAsia" w:ascii="宋体" w:hAnsi="宋体" w:eastAsia="宋体" w:cs="宋体"/>
                <w:sz w:val="24"/>
                <w:szCs w:val="24"/>
                <w:lang w:val="en-US"/>
              </w:rPr>
              <w:t>分；</w:t>
            </w:r>
          </w:p>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lang w:val="en-US"/>
              </w:rPr>
            </w:pPr>
            <w:r>
              <w:rPr>
                <w:rFonts w:hint="eastAsia" w:ascii="宋体" w:hAnsi="宋体" w:eastAsia="宋体" w:cs="宋体"/>
                <w:sz w:val="24"/>
                <w:szCs w:val="24"/>
                <w:lang w:val="en-US"/>
              </w:rPr>
              <w:t>3、具有有效的OHSAS18001或ISO45001职业健康安全管理体系认证证书得</w:t>
            </w:r>
            <w:r>
              <w:rPr>
                <w:rFonts w:hint="eastAsia" w:ascii="宋体" w:hAnsi="宋体" w:eastAsia="宋体" w:cs="宋体"/>
                <w:sz w:val="24"/>
                <w:szCs w:val="24"/>
                <w:lang w:val="en-US" w:eastAsia="zh-CN"/>
              </w:rPr>
              <w:t>3</w:t>
            </w:r>
            <w:r>
              <w:rPr>
                <w:rFonts w:hint="eastAsia" w:ascii="宋体" w:hAnsi="宋体" w:eastAsia="宋体" w:cs="宋体"/>
                <w:sz w:val="24"/>
                <w:szCs w:val="24"/>
                <w:lang w:val="en-US"/>
              </w:rPr>
              <w:t>分；</w:t>
            </w:r>
          </w:p>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b/>
                <w:bCs/>
                <w:sz w:val="24"/>
                <w:szCs w:val="24"/>
                <w:lang w:val="en-US"/>
              </w:rPr>
            </w:pPr>
            <w:r>
              <w:rPr>
                <w:rFonts w:hint="eastAsia" w:ascii="宋体" w:hAnsi="宋体" w:eastAsia="宋体" w:cs="宋体"/>
                <w:b/>
                <w:bCs/>
                <w:sz w:val="24"/>
                <w:szCs w:val="24"/>
                <w:lang w:val="en-US"/>
              </w:rPr>
              <w:t>评审依据：证书必须在有效期内，并且在《国家认证认可监督管理委员会》网站可查的。提供证书证明，未提供不得分。</w:t>
            </w:r>
            <w:r>
              <w:rPr>
                <w:rFonts w:hint="eastAsia" w:ascii="宋体" w:hAnsi="宋体" w:eastAsia="宋体" w:cs="宋体"/>
                <w:b/>
                <w:bCs/>
                <w:sz w:val="24"/>
                <w:szCs w:val="24"/>
                <w:lang w:val="en-US"/>
              </w:rPr>
              <w:t>评审依据：证书必须在有效期内，并且在《国家认证认可监督管理委员会》网站可查的。提供证书证明，未提供不得分。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p>
        </w:tc>
        <w:tc>
          <w:tcPr>
            <w:tcW w:w="1984" w:type="dxa"/>
            <w:vAlign w:val="center"/>
          </w:tcPr>
          <w:p>
            <w:pPr>
              <w:keepNext w:val="0"/>
              <w:keepLines w:val="0"/>
              <w:pageBreakBefore w:val="0"/>
              <w:kinsoku/>
              <w:wordWrap/>
              <w:overflowPunct/>
              <w:topLinePunct w:val="0"/>
              <w:bidi w:val="0"/>
              <w:adjustRightInd w:val="0"/>
              <w:snapToGrid/>
              <w:spacing w:line="360" w:lineRule="auto"/>
              <w:ind w:left="0" w:leftChars="0" w:firstLine="482" w:firstLineChars="200"/>
              <w:jc w:val="both"/>
              <w:rPr>
                <w:rFonts w:hint="eastAsia" w:ascii="宋体" w:hAnsi="宋体" w:eastAsia="宋体" w:cs="宋体"/>
                <w:b/>
                <w:bCs/>
                <w:sz w:val="24"/>
                <w:szCs w:val="24"/>
              </w:rPr>
            </w:pPr>
            <w:r>
              <w:rPr>
                <w:rFonts w:hint="eastAsia" w:ascii="宋体" w:hAnsi="宋体" w:eastAsia="宋体" w:cs="宋体"/>
                <w:b/>
                <w:bCs/>
                <w:sz w:val="24"/>
                <w:szCs w:val="24"/>
              </w:rPr>
              <w:t>管理团队及项目配置（</w:t>
            </w:r>
            <w:r>
              <w:rPr>
                <w:rFonts w:hint="eastAsia" w:cs="宋体"/>
                <w:b/>
                <w:bCs/>
                <w:sz w:val="24"/>
                <w:szCs w:val="24"/>
                <w:lang w:val="en-US" w:eastAsia="zh-CN"/>
              </w:rPr>
              <w:t>7</w:t>
            </w:r>
            <w:r>
              <w:rPr>
                <w:rFonts w:hint="eastAsia" w:ascii="宋体" w:hAnsi="宋体" w:eastAsia="宋体" w:cs="宋体"/>
                <w:b/>
                <w:bCs/>
                <w:sz w:val="24"/>
                <w:szCs w:val="24"/>
              </w:rPr>
              <w:t>分）</w:t>
            </w:r>
          </w:p>
        </w:tc>
        <w:tc>
          <w:tcPr>
            <w:tcW w:w="6776"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bCs/>
                <w:kern w:val="0"/>
                <w:sz w:val="24"/>
                <w:szCs w:val="24"/>
                <w:lang w:val="zh-CN"/>
              </w:rPr>
            </w:pPr>
            <w:r>
              <w:rPr>
                <w:rFonts w:hint="eastAsia" w:ascii="宋体" w:hAnsi="宋体" w:eastAsia="宋体" w:cs="宋体"/>
                <w:sz w:val="24"/>
                <w:szCs w:val="24"/>
              </w:rPr>
              <w:t>投标人针对本项目拟派驻的项目负责人具有以下要求。1、具有物业管理上岗证或物业经理证书;2、服务过</w:t>
            </w:r>
            <w:r>
              <w:rPr>
                <w:rFonts w:hint="eastAsia" w:cs="宋体"/>
                <w:sz w:val="24"/>
                <w:szCs w:val="24"/>
                <w:lang w:eastAsia="zh-CN"/>
              </w:rPr>
              <w:t>二</w:t>
            </w:r>
            <w:r>
              <w:rPr>
                <w:rFonts w:hint="eastAsia" w:ascii="宋体" w:hAnsi="宋体" w:eastAsia="宋体" w:cs="宋体"/>
                <w:sz w:val="24"/>
                <w:szCs w:val="24"/>
              </w:rPr>
              <w:t>级医院的物业服务管理经验;3、</w:t>
            </w:r>
            <w:r>
              <w:rPr>
                <w:rFonts w:hint="eastAsia" w:cs="宋体"/>
                <w:sz w:val="24"/>
                <w:szCs w:val="24"/>
                <w:lang w:eastAsia="zh-CN"/>
              </w:rPr>
              <w:t>高中</w:t>
            </w:r>
            <w:r>
              <w:rPr>
                <w:rFonts w:hint="eastAsia" w:ascii="宋体" w:hAnsi="宋体" w:eastAsia="宋体" w:cs="宋体"/>
                <w:sz w:val="24"/>
                <w:szCs w:val="24"/>
              </w:rPr>
              <w:t>及以上。评审依据: 每项各</w:t>
            </w:r>
            <w:r>
              <w:rPr>
                <w:rFonts w:hint="eastAsia" w:cs="宋体"/>
                <w:sz w:val="24"/>
                <w:szCs w:val="24"/>
                <w:lang w:val="en-US" w:eastAsia="zh-CN"/>
              </w:rPr>
              <w:t>2</w:t>
            </w:r>
            <w:r>
              <w:rPr>
                <w:rFonts w:hint="eastAsia" w:ascii="宋体" w:hAnsi="宋体" w:eastAsia="宋体" w:cs="宋体"/>
                <w:sz w:val="24"/>
                <w:szCs w:val="24"/>
              </w:rPr>
              <w:t>分，须提供岗位证书、</w:t>
            </w:r>
            <w:bookmarkStart w:id="3" w:name="_GoBack"/>
            <w:bookmarkEnd w:id="3"/>
            <w:r>
              <w:rPr>
                <w:rFonts w:hint="eastAsia" w:ascii="宋体" w:hAnsi="宋体" w:eastAsia="宋体" w:cs="宋体"/>
                <w:sz w:val="24"/>
                <w:szCs w:val="24"/>
              </w:rPr>
              <w:t>及投标人为其缴纳的近6个月社保证明材料,否则不得分。</w:t>
            </w:r>
            <w:r>
              <w:rPr>
                <w:rFonts w:hint="eastAsia" w:ascii="宋体" w:hAnsi="宋体" w:eastAsia="宋体" w:cs="宋体"/>
                <w:bCs/>
                <w:kern w:val="0"/>
                <w:sz w:val="24"/>
                <w:szCs w:val="24"/>
                <w:lang w:val="zh-CN"/>
              </w:rPr>
              <w:t>提供详细的岗位人员配备表且人员配备完全满足招标文件要求，所有岗位不缺编，</w:t>
            </w:r>
            <w:r>
              <w:rPr>
                <w:rFonts w:hint="eastAsia" w:cs="宋体"/>
                <w:bCs/>
                <w:kern w:val="0"/>
                <w:sz w:val="24"/>
                <w:szCs w:val="24"/>
                <w:lang w:val="zh-CN"/>
              </w:rPr>
              <w:t>合理安排人员上班时间，全部</w:t>
            </w:r>
            <w:r>
              <w:rPr>
                <w:rFonts w:hint="eastAsia" w:ascii="宋体" w:hAnsi="宋体" w:eastAsia="宋体" w:cs="宋体"/>
                <w:bCs/>
                <w:kern w:val="0"/>
                <w:sz w:val="24"/>
                <w:szCs w:val="24"/>
                <w:lang w:val="zh-CN"/>
              </w:rPr>
              <w:t>符合者得</w:t>
            </w:r>
            <w:r>
              <w:rPr>
                <w:rFonts w:hint="eastAsia" w:cs="宋体"/>
                <w:bCs/>
                <w:kern w:val="0"/>
                <w:sz w:val="24"/>
                <w:szCs w:val="24"/>
                <w:lang w:val="en-US" w:eastAsia="zh-CN"/>
              </w:rPr>
              <w:t>1</w:t>
            </w:r>
            <w:r>
              <w:rPr>
                <w:rFonts w:hint="eastAsia" w:ascii="宋体" w:hAnsi="宋体" w:eastAsia="宋体" w:cs="宋体"/>
                <w:bCs/>
                <w:kern w:val="0"/>
                <w:sz w:val="24"/>
                <w:szCs w:val="24"/>
                <w:lang w:val="zh-CN"/>
              </w:rPr>
              <w:t>分</w:t>
            </w:r>
          </w:p>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b/>
                <w:bCs/>
                <w:sz w:val="24"/>
                <w:szCs w:val="24"/>
                <w:lang w:val="en-US"/>
              </w:rPr>
            </w:pPr>
            <w:r>
              <w:rPr>
                <w:rFonts w:hint="eastAsia" w:ascii="宋体" w:hAnsi="宋体" w:eastAsia="宋体" w:cs="宋体"/>
                <w:b/>
                <w:bCs/>
                <w:sz w:val="24"/>
                <w:szCs w:val="24"/>
                <w:lang w:val="en-US"/>
              </w:rPr>
              <w:t>评审依据：提供相关服务证明材料和医院等级证明材料及毕业证复印件并加盖公章，未提供不得分。</w:t>
            </w:r>
          </w:p>
          <w:p>
            <w:pPr>
              <w:keepNext w:val="0"/>
              <w:keepLines w:val="0"/>
              <w:pageBreakBefore w:val="0"/>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sz w:val="24"/>
                <w:szCs w:val="24"/>
                <w:lang w:val="en-US"/>
              </w:rPr>
            </w:pPr>
            <w:r>
              <w:rPr>
                <w:rFonts w:hint="eastAsia" w:cs="宋体"/>
                <w:b/>
                <w:bCs/>
                <w:sz w:val="24"/>
                <w:szCs w:val="24"/>
                <w:lang w:val="en-US" w:eastAsia="zh-CN"/>
              </w:rPr>
              <w:t>注意：</w:t>
            </w:r>
            <w:r>
              <w:rPr>
                <w:rFonts w:hint="eastAsia" w:ascii="宋体" w:hAnsi="宋体" w:eastAsia="宋体" w:cs="宋体"/>
                <w:b/>
                <w:bCs/>
                <w:sz w:val="24"/>
                <w:szCs w:val="24"/>
                <w:lang w:val="en-US"/>
              </w:rPr>
              <w:t>出具近6个月项目经理在本公司的社保证明，不出具则以上各项不得分。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p>
        </w:tc>
        <w:tc>
          <w:tcPr>
            <w:tcW w:w="1984"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b/>
                <w:bCs/>
                <w:sz w:val="24"/>
                <w:szCs w:val="24"/>
              </w:rPr>
            </w:pPr>
            <w:r>
              <w:rPr>
                <w:rFonts w:hint="eastAsia" w:ascii="宋体" w:hAnsi="宋体" w:eastAsia="宋体" w:cs="宋体"/>
                <w:b/>
                <w:bCs/>
                <w:sz w:val="24"/>
                <w:szCs w:val="24"/>
              </w:rPr>
              <w:t>类似业绩（</w:t>
            </w:r>
            <w:r>
              <w:rPr>
                <w:rFonts w:hint="eastAsia" w:cs="宋体"/>
                <w:b/>
                <w:bCs/>
                <w:sz w:val="24"/>
                <w:szCs w:val="24"/>
                <w:lang w:val="en-US" w:eastAsia="zh-CN"/>
              </w:rPr>
              <w:t>6</w:t>
            </w:r>
            <w:r>
              <w:rPr>
                <w:rFonts w:hint="eastAsia" w:ascii="宋体" w:hAnsi="宋体" w:eastAsia="宋体" w:cs="宋体"/>
                <w:b/>
                <w:bCs/>
                <w:sz w:val="24"/>
                <w:szCs w:val="24"/>
              </w:rPr>
              <w:t>分）</w:t>
            </w:r>
          </w:p>
        </w:tc>
        <w:tc>
          <w:tcPr>
            <w:tcW w:w="6776"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投标人自2019年1月1日以来承担过医院项目业绩（需同时具备保洁、运送）每个得1分，最多得</w:t>
            </w:r>
            <w:r>
              <w:rPr>
                <w:rFonts w:hint="eastAsia" w:cs="宋体"/>
                <w:bCs/>
                <w:kern w:val="0"/>
                <w:sz w:val="24"/>
                <w:szCs w:val="24"/>
                <w:lang w:val="en-US" w:eastAsia="zh-CN"/>
              </w:rPr>
              <w:t>6</w:t>
            </w:r>
            <w:r>
              <w:rPr>
                <w:rFonts w:hint="eastAsia" w:ascii="宋体" w:hAnsi="宋体" w:eastAsia="宋体" w:cs="宋体"/>
                <w:bCs/>
                <w:kern w:val="0"/>
                <w:sz w:val="24"/>
                <w:szCs w:val="24"/>
                <w:lang w:val="zh-CN"/>
              </w:rPr>
              <w:t>分。</w:t>
            </w:r>
          </w:p>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b/>
                <w:bCs/>
                <w:sz w:val="24"/>
                <w:szCs w:val="24"/>
                <w:lang w:val="en-US"/>
              </w:rPr>
            </w:pPr>
            <w:r>
              <w:rPr>
                <w:rFonts w:hint="eastAsia" w:ascii="宋体" w:hAnsi="宋体" w:eastAsia="宋体" w:cs="宋体"/>
                <w:b/>
                <w:bCs/>
                <w:sz w:val="24"/>
                <w:szCs w:val="24"/>
              </w:rPr>
              <w:t>评审依据：提供合同复印件加盖投标人公章，未提供或提供无效合同得0分，合同以签订时间为准，同一单位多份合同按一份合同计算。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p>
        </w:tc>
        <w:tc>
          <w:tcPr>
            <w:tcW w:w="1984"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sz w:val="24"/>
                <w:szCs w:val="24"/>
              </w:rPr>
            </w:pPr>
            <w:r>
              <w:rPr>
                <w:rFonts w:hint="eastAsia" w:ascii="宋体" w:hAnsi="宋体" w:eastAsia="宋体" w:cs="宋体"/>
                <w:b/>
                <w:bCs/>
                <w:sz w:val="24"/>
                <w:szCs w:val="24"/>
              </w:rPr>
              <w:t>服务评价及能力（</w:t>
            </w:r>
            <w:r>
              <w:rPr>
                <w:rFonts w:hint="eastAsia" w:cs="宋体"/>
                <w:b/>
                <w:bCs/>
                <w:sz w:val="24"/>
                <w:szCs w:val="24"/>
                <w:lang w:val="en-US" w:eastAsia="zh-CN"/>
              </w:rPr>
              <w:t>5</w:t>
            </w:r>
            <w:r>
              <w:rPr>
                <w:rFonts w:hint="eastAsia" w:ascii="宋体" w:hAnsi="宋体" w:eastAsia="宋体" w:cs="宋体"/>
                <w:b/>
                <w:bCs/>
                <w:sz w:val="24"/>
                <w:szCs w:val="24"/>
              </w:rPr>
              <w:t>分）</w:t>
            </w:r>
          </w:p>
        </w:tc>
        <w:tc>
          <w:tcPr>
            <w:tcW w:w="6776"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lang w:eastAsia="zh-CN"/>
              </w:rPr>
            </w:pPr>
            <w:r>
              <w:rPr>
                <w:rFonts w:hint="eastAsia" w:ascii="宋体" w:hAnsi="宋体" w:eastAsia="宋体" w:cs="宋体"/>
                <w:sz w:val="24"/>
                <w:szCs w:val="24"/>
              </w:rPr>
              <w:t>根据投标人提供的医院合同履行评价表进行打分。单个合同：非常满意（或优）：得1分，基本满意（或合格）：得0.5分，不满意（或差）：不得分</w:t>
            </w:r>
            <w:r>
              <w:rPr>
                <w:rFonts w:hint="eastAsia" w:ascii="宋体" w:hAnsi="宋体" w:eastAsia="宋体" w:cs="宋体"/>
                <w:sz w:val="24"/>
                <w:szCs w:val="24"/>
                <w:lang w:eastAsia="zh-CN"/>
              </w:rPr>
              <w:t>。</w:t>
            </w:r>
            <w:r>
              <w:rPr>
                <w:rFonts w:hint="eastAsia" w:ascii="宋体" w:hAnsi="宋体" w:eastAsia="宋体" w:cs="宋体"/>
                <w:sz w:val="24"/>
                <w:szCs w:val="24"/>
              </w:rPr>
              <w:t>最高得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sz w:val="24"/>
                <w:szCs w:val="24"/>
              </w:rPr>
            </w:pPr>
            <w:r>
              <w:rPr>
                <w:rFonts w:hint="eastAsia" w:ascii="宋体" w:hAnsi="宋体" w:eastAsia="宋体" w:cs="宋体"/>
                <w:b/>
                <w:bCs/>
                <w:sz w:val="24"/>
                <w:szCs w:val="24"/>
              </w:rPr>
              <w:t>评审依据：最多提供</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个合同履行评价表（多出部分不得分）（投标人需提供履约医院证明材料并加盖医院公章，未提供证明材料不得分）</w:t>
            </w:r>
          </w:p>
        </w:tc>
      </w:tr>
    </w:tbl>
    <w:p>
      <w:pPr>
        <w:keepNext w:val="0"/>
        <w:keepLines w:val="0"/>
        <w:pageBreakBefore w:val="0"/>
        <w:kinsoku/>
        <w:wordWrap/>
        <w:overflowPunct/>
        <w:topLinePunct w:val="0"/>
        <w:bidi w:val="0"/>
        <w:adjustRightInd w:val="0"/>
        <w:snapToGrid/>
        <w:spacing w:line="360" w:lineRule="auto"/>
        <w:outlineLvl w:val="2"/>
        <w:rPr>
          <w:rFonts w:hint="eastAsia" w:ascii="宋体" w:hAnsi="宋体" w:eastAsia="宋体" w:cs="宋体"/>
          <w:sz w:val="24"/>
          <w:szCs w:val="24"/>
        </w:rPr>
      </w:pPr>
    </w:p>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4872789"/>
    </w:sdtPr>
    <w:sdtContent>
      <w:sdt>
        <w:sdtPr>
          <w:id w:val="1728636285"/>
        </w:sdtPr>
        <w:sdtContent>
          <w:p>
            <w:pPr>
              <w:pStyle w:val="12"/>
              <w:jc w:val="center"/>
            </w:pPr>
            <w:r>
              <w:t xml:space="preserve"> </w:t>
            </w:r>
            <w:r>
              <w:rPr>
                <w:sz w:val="24"/>
                <w:szCs w:val="24"/>
              </w:rPr>
              <w:fldChar w:fldCharType="begin"/>
            </w:r>
            <w:r>
              <w:instrText xml:space="preserve">PAGE</w:instrText>
            </w:r>
            <w:r>
              <w:rPr>
                <w:sz w:val="24"/>
                <w:szCs w:val="24"/>
              </w:rPr>
              <w:fldChar w:fldCharType="separate"/>
            </w:r>
            <w:r>
              <w:t>2</w:t>
            </w:r>
            <w:r>
              <w:rPr>
                <w:sz w:val="24"/>
                <w:szCs w:val="24"/>
              </w:rPr>
              <w:fldChar w:fldCharType="end"/>
            </w:r>
            <w:r>
              <w:t xml:space="preserve"> / </w:t>
            </w:r>
            <w:r>
              <w:rPr>
                <w:sz w:val="24"/>
                <w:szCs w:val="24"/>
              </w:rPr>
              <w:fldChar w:fldCharType="begin"/>
            </w:r>
            <w:r>
              <w:instrText xml:space="preserve">NUMPAGES</w:instrText>
            </w:r>
            <w:r>
              <w:rPr>
                <w:sz w:val="24"/>
                <w:szCs w:val="24"/>
              </w:rPr>
              <w:fldChar w:fldCharType="separate"/>
            </w:r>
            <w:r>
              <w:t>2</w:t>
            </w:r>
            <w:r>
              <w:rPr>
                <w:sz w:val="24"/>
                <w:szCs w:val="24"/>
              </w:rPr>
              <w:fldChar w:fldCharType="end"/>
            </w:r>
          </w:p>
        </w:sdtContent>
      </w:sdt>
    </w:sdtContent>
  </w:sdt>
  <w:p>
    <w:pPr>
      <w:pStyle w:val="3"/>
      <w:spacing w:line="14" w:lineRule="auto"/>
      <w:rPr>
        <w:sz w:val="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xM2NiYjg4NzNlOTQ5NjEzNDM4Njc4NThlZGRhZmUifQ=="/>
  </w:docVars>
  <w:rsids>
    <w:rsidRoot w:val="008C0FC5"/>
    <w:rsid w:val="000032A7"/>
    <w:rsid w:val="00014F61"/>
    <w:rsid w:val="000233E2"/>
    <w:rsid w:val="000245BE"/>
    <w:rsid w:val="00033F47"/>
    <w:rsid w:val="00064409"/>
    <w:rsid w:val="00071DA7"/>
    <w:rsid w:val="000901DB"/>
    <w:rsid w:val="0009192A"/>
    <w:rsid w:val="000933CE"/>
    <w:rsid w:val="000A2E52"/>
    <w:rsid w:val="000C1194"/>
    <w:rsid w:val="000D2F26"/>
    <w:rsid w:val="000D32FB"/>
    <w:rsid w:val="000D7A8D"/>
    <w:rsid w:val="001077FD"/>
    <w:rsid w:val="00111538"/>
    <w:rsid w:val="001348C9"/>
    <w:rsid w:val="0013691D"/>
    <w:rsid w:val="001463C5"/>
    <w:rsid w:val="00165019"/>
    <w:rsid w:val="001800A2"/>
    <w:rsid w:val="00196A77"/>
    <w:rsid w:val="001C580E"/>
    <w:rsid w:val="001D52C7"/>
    <w:rsid w:val="001E6728"/>
    <w:rsid w:val="001F27B5"/>
    <w:rsid w:val="00204F5F"/>
    <w:rsid w:val="00221DC5"/>
    <w:rsid w:val="00235ACA"/>
    <w:rsid w:val="00240520"/>
    <w:rsid w:val="00253EAD"/>
    <w:rsid w:val="0026639A"/>
    <w:rsid w:val="00272512"/>
    <w:rsid w:val="00284F89"/>
    <w:rsid w:val="00296BB0"/>
    <w:rsid w:val="002A0434"/>
    <w:rsid w:val="002C04F7"/>
    <w:rsid w:val="002D6188"/>
    <w:rsid w:val="00334DC4"/>
    <w:rsid w:val="003501B2"/>
    <w:rsid w:val="00350A46"/>
    <w:rsid w:val="00357EC6"/>
    <w:rsid w:val="00357EF4"/>
    <w:rsid w:val="0037133D"/>
    <w:rsid w:val="0037134E"/>
    <w:rsid w:val="00387BFE"/>
    <w:rsid w:val="0039432C"/>
    <w:rsid w:val="003A6F2F"/>
    <w:rsid w:val="003B425B"/>
    <w:rsid w:val="003C6609"/>
    <w:rsid w:val="0040059D"/>
    <w:rsid w:val="00437C56"/>
    <w:rsid w:val="00472B6A"/>
    <w:rsid w:val="00473E2A"/>
    <w:rsid w:val="00490254"/>
    <w:rsid w:val="00490D9C"/>
    <w:rsid w:val="004948BB"/>
    <w:rsid w:val="004B1258"/>
    <w:rsid w:val="004D3074"/>
    <w:rsid w:val="004F67EC"/>
    <w:rsid w:val="00503B2E"/>
    <w:rsid w:val="00511359"/>
    <w:rsid w:val="00513184"/>
    <w:rsid w:val="005155AD"/>
    <w:rsid w:val="005314C5"/>
    <w:rsid w:val="00555F4A"/>
    <w:rsid w:val="005575D4"/>
    <w:rsid w:val="00565CD7"/>
    <w:rsid w:val="005770D5"/>
    <w:rsid w:val="005C133E"/>
    <w:rsid w:val="005C4675"/>
    <w:rsid w:val="005D5A0D"/>
    <w:rsid w:val="005F3796"/>
    <w:rsid w:val="005F5209"/>
    <w:rsid w:val="00613A70"/>
    <w:rsid w:val="00625595"/>
    <w:rsid w:val="00636F98"/>
    <w:rsid w:val="006728A0"/>
    <w:rsid w:val="00673890"/>
    <w:rsid w:val="00675481"/>
    <w:rsid w:val="00683315"/>
    <w:rsid w:val="00687029"/>
    <w:rsid w:val="006B324E"/>
    <w:rsid w:val="006C0A51"/>
    <w:rsid w:val="006D381C"/>
    <w:rsid w:val="006D41FA"/>
    <w:rsid w:val="006D6850"/>
    <w:rsid w:val="006F6554"/>
    <w:rsid w:val="00704B3A"/>
    <w:rsid w:val="00707505"/>
    <w:rsid w:val="00726839"/>
    <w:rsid w:val="00755FE8"/>
    <w:rsid w:val="00772F86"/>
    <w:rsid w:val="00780655"/>
    <w:rsid w:val="007818B4"/>
    <w:rsid w:val="007858DC"/>
    <w:rsid w:val="00795226"/>
    <w:rsid w:val="007D1BB7"/>
    <w:rsid w:val="007D53FD"/>
    <w:rsid w:val="007F3507"/>
    <w:rsid w:val="00801342"/>
    <w:rsid w:val="00806A42"/>
    <w:rsid w:val="00825E54"/>
    <w:rsid w:val="00827C69"/>
    <w:rsid w:val="00836950"/>
    <w:rsid w:val="00862E8B"/>
    <w:rsid w:val="008727A9"/>
    <w:rsid w:val="00884340"/>
    <w:rsid w:val="00896D66"/>
    <w:rsid w:val="008A15B6"/>
    <w:rsid w:val="008B4892"/>
    <w:rsid w:val="008C0FC5"/>
    <w:rsid w:val="008C4E64"/>
    <w:rsid w:val="008C6C96"/>
    <w:rsid w:val="008F0A93"/>
    <w:rsid w:val="00902C15"/>
    <w:rsid w:val="0092238E"/>
    <w:rsid w:val="00926EA7"/>
    <w:rsid w:val="00934454"/>
    <w:rsid w:val="00936065"/>
    <w:rsid w:val="00950F38"/>
    <w:rsid w:val="00956B0E"/>
    <w:rsid w:val="00961D19"/>
    <w:rsid w:val="0096436A"/>
    <w:rsid w:val="00966966"/>
    <w:rsid w:val="009725A8"/>
    <w:rsid w:val="00983492"/>
    <w:rsid w:val="009B4DD5"/>
    <w:rsid w:val="009C0D9D"/>
    <w:rsid w:val="009D3FAE"/>
    <w:rsid w:val="009E0310"/>
    <w:rsid w:val="009E18EC"/>
    <w:rsid w:val="009E5BEA"/>
    <w:rsid w:val="00A508D1"/>
    <w:rsid w:val="00A66779"/>
    <w:rsid w:val="00A8201C"/>
    <w:rsid w:val="00A83335"/>
    <w:rsid w:val="00A911AD"/>
    <w:rsid w:val="00AA5E2C"/>
    <w:rsid w:val="00AE27D0"/>
    <w:rsid w:val="00AE3F56"/>
    <w:rsid w:val="00B04DA3"/>
    <w:rsid w:val="00B21EEC"/>
    <w:rsid w:val="00B27161"/>
    <w:rsid w:val="00B3037D"/>
    <w:rsid w:val="00B405C9"/>
    <w:rsid w:val="00B423B0"/>
    <w:rsid w:val="00B539D8"/>
    <w:rsid w:val="00B7172E"/>
    <w:rsid w:val="00B77458"/>
    <w:rsid w:val="00B802F8"/>
    <w:rsid w:val="00B844D7"/>
    <w:rsid w:val="00B875F8"/>
    <w:rsid w:val="00B95211"/>
    <w:rsid w:val="00BB742B"/>
    <w:rsid w:val="00BC40B2"/>
    <w:rsid w:val="00BF360B"/>
    <w:rsid w:val="00C0426D"/>
    <w:rsid w:val="00C13AFB"/>
    <w:rsid w:val="00C17BBD"/>
    <w:rsid w:val="00C24395"/>
    <w:rsid w:val="00C26509"/>
    <w:rsid w:val="00C42905"/>
    <w:rsid w:val="00C5223C"/>
    <w:rsid w:val="00C555AD"/>
    <w:rsid w:val="00C927F8"/>
    <w:rsid w:val="00C928D8"/>
    <w:rsid w:val="00C94702"/>
    <w:rsid w:val="00CD63C1"/>
    <w:rsid w:val="00D21273"/>
    <w:rsid w:val="00D443E8"/>
    <w:rsid w:val="00D61C80"/>
    <w:rsid w:val="00D71389"/>
    <w:rsid w:val="00D72A57"/>
    <w:rsid w:val="00D767B5"/>
    <w:rsid w:val="00D96EDC"/>
    <w:rsid w:val="00DB6C86"/>
    <w:rsid w:val="00DC0877"/>
    <w:rsid w:val="00DC16DA"/>
    <w:rsid w:val="00E01A21"/>
    <w:rsid w:val="00E0434C"/>
    <w:rsid w:val="00E1126D"/>
    <w:rsid w:val="00E25E92"/>
    <w:rsid w:val="00E32245"/>
    <w:rsid w:val="00E57167"/>
    <w:rsid w:val="00E8742C"/>
    <w:rsid w:val="00E91B0E"/>
    <w:rsid w:val="00E92BA0"/>
    <w:rsid w:val="00EC6692"/>
    <w:rsid w:val="00EC6CC4"/>
    <w:rsid w:val="00ED1C30"/>
    <w:rsid w:val="00EE56A9"/>
    <w:rsid w:val="00EF4D16"/>
    <w:rsid w:val="00EF5158"/>
    <w:rsid w:val="00EF5590"/>
    <w:rsid w:val="00F02B27"/>
    <w:rsid w:val="00F22827"/>
    <w:rsid w:val="00F22C26"/>
    <w:rsid w:val="00F363BE"/>
    <w:rsid w:val="00F47B21"/>
    <w:rsid w:val="00F672B4"/>
    <w:rsid w:val="00F71176"/>
    <w:rsid w:val="00F74493"/>
    <w:rsid w:val="00F84906"/>
    <w:rsid w:val="00FB1427"/>
    <w:rsid w:val="00FB2BB6"/>
    <w:rsid w:val="00FE2FC8"/>
    <w:rsid w:val="00FF02D8"/>
    <w:rsid w:val="0100390C"/>
    <w:rsid w:val="01105DCE"/>
    <w:rsid w:val="01233A9E"/>
    <w:rsid w:val="01234CC6"/>
    <w:rsid w:val="0127533C"/>
    <w:rsid w:val="013D4B60"/>
    <w:rsid w:val="014F6641"/>
    <w:rsid w:val="01660205"/>
    <w:rsid w:val="016F0E0D"/>
    <w:rsid w:val="01704382"/>
    <w:rsid w:val="01830099"/>
    <w:rsid w:val="01967DCC"/>
    <w:rsid w:val="01B50FD4"/>
    <w:rsid w:val="01DA23AF"/>
    <w:rsid w:val="02070CCA"/>
    <w:rsid w:val="023D293E"/>
    <w:rsid w:val="0264045A"/>
    <w:rsid w:val="028247F4"/>
    <w:rsid w:val="02867E41"/>
    <w:rsid w:val="030B6598"/>
    <w:rsid w:val="03265180"/>
    <w:rsid w:val="032A1114"/>
    <w:rsid w:val="032F672A"/>
    <w:rsid w:val="03526967"/>
    <w:rsid w:val="03C055D4"/>
    <w:rsid w:val="03DB41BC"/>
    <w:rsid w:val="040A684F"/>
    <w:rsid w:val="041651F4"/>
    <w:rsid w:val="04E90B5B"/>
    <w:rsid w:val="04F03C97"/>
    <w:rsid w:val="05637BC5"/>
    <w:rsid w:val="057F7418"/>
    <w:rsid w:val="05AA02EA"/>
    <w:rsid w:val="05B1372E"/>
    <w:rsid w:val="05DD1DAD"/>
    <w:rsid w:val="05EA4B8A"/>
    <w:rsid w:val="06113EC5"/>
    <w:rsid w:val="06127C3D"/>
    <w:rsid w:val="064A387B"/>
    <w:rsid w:val="068E3768"/>
    <w:rsid w:val="06A0349B"/>
    <w:rsid w:val="06B331CE"/>
    <w:rsid w:val="06CD24E2"/>
    <w:rsid w:val="06FF4665"/>
    <w:rsid w:val="07126147"/>
    <w:rsid w:val="07153E89"/>
    <w:rsid w:val="07632E46"/>
    <w:rsid w:val="07CD02C0"/>
    <w:rsid w:val="07F349F9"/>
    <w:rsid w:val="08002443"/>
    <w:rsid w:val="085A0AC9"/>
    <w:rsid w:val="087370B9"/>
    <w:rsid w:val="08963939"/>
    <w:rsid w:val="089D4136"/>
    <w:rsid w:val="08F07C78"/>
    <w:rsid w:val="08FD2E27"/>
    <w:rsid w:val="091A12E3"/>
    <w:rsid w:val="095A64D6"/>
    <w:rsid w:val="097C3D4B"/>
    <w:rsid w:val="098145C3"/>
    <w:rsid w:val="09814851"/>
    <w:rsid w:val="09962B65"/>
    <w:rsid w:val="09A12FCC"/>
    <w:rsid w:val="09A60DC8"/>
    <w:rsid w:val="09C63218"/>
    <w:rsid w:val="09C726A2"/>
    <w:rsid w:val="09F66434"/>
    <w:rsid w:val="0A1D12F5"/>
    <w:rsid w:val="0A9B6453"/>
    <w:rsid w:val="0AA03A6A"/>
    <w:rsid w:val="0AAA2B3A"/>
    <w:rsid w:val="0ABF65E6"/>
    <w:rsid w:val="0AFD2C6A"/>
    <w:rsid w:val="0BCA3494"/>
    <w:rsid w:val="0BCB720C"/>
    <w:rsid w:val="0BFE6C9A"/>
    <w:rsid w:val="0C05627A"/>
    <w:rsid w:val="0C0A3890"/>
    <w:rsid w:val="0C112E71"/>
    <w:rsid w:val="0C142633"/>
    <w:rsid w:val="0CAA5073"/>
    <w:rsid w:val="0CB34751"/>
    <w:rsid w:val="0CD143AE"/>
    <w:rsid w:val="0D1137D2"/>
    <w:rsid w:val="0D331934"/>
    <w:rsid w:val="0DB118DE"/>
    <w:rsid w:val="0DC61A39"/>
    <w:rsid w:val="0DE615AC"/>
    <w:rsid w:val="0E087ECA"/>
    <w:rsid w:val="0E0B1B42"/>
    <w:rsid w:val="0E172295"/>
    <w:rsid w:val="0E2F3A82"/>
    <w:rsid w:val="0E323572"/>
    <w:rsid w:val="0E695A12"/>
    <w:rsid w:val="0E7E40C2"/>
    <w:rsid w:val="0E9C2B02"/>
    <w:rsid w:val="0EA7186A"/>
    <w:rsid w:val="0EB14497"/>
    <w:rsid w:val="0F102B00"/>
    <w:rsid w:val="0F157220"/>
    <w:rsid w:val="0F5216E5"/>
    <w:rsid w:val="0F6459AD"/>
    <w:rsid w:val="0F891B3B"/>
    <w:rsid w:val="0FA67D74"/>
    <w:rsid w:val="0FAB5B16"/>
    <w:rsid w:val="0FFC3992"/>
    <w:rsid w:val="1001144E"/>
    <w:rsid w:val="102E1B18"/>
    <w:rsid w:val="102F6E00"/>
    <w:rsid w:val="10863702"/>
    <w:rsid w:val="10B44211"/>
    <w:rsid w:val="10CE3842"/>
    <w:rsid w:val="10E87F18"/>
    <w:rsid w:val="11283537"/>
    <w:rsid w:val="112F3D99"/>
    <w:rsid w:val="11494E5B"/>
    <w:rsid w:val="11656BCB"/>
    <w:rsid w:val="11B36778"/>
    <w:rsid w:val="11C06686"/>
    <w:rsid w:val="11DC7A7D"/>
    <w:rsid w:val="122B4561"/>
    <w:rsid w:val="124B00D7"/>
    <w:rsid w:val="125B0153"/>
    <w:rsid w:val="125C6E10"/>
    <w:rsid w:val="12A55421"/>
    <w:rsid w:val="12A83995"/>
    <w:rsid w:val="12EF37E0"/>
    <w:rsid w:val="12F9465F"/>
    <w:rsid w:val="13257202"/>
    <w:rsid w:val="13304B67"/>
    <w:rsid w:val="133B1959"/>
    <w:rsid w:val="133E2072"/>
    <w:rsid w:val="138F0B1F"/>
    <w:rsid w:val="13936861"/>
    <w:rsid w:val="139A199E"/>
    <w:rsid w:val="13D57BB8"/>
    <w:rsid w:val="141259D8"/>
    <w:rsid w:val="141A2ADF"/>
    <w:rsid w:val="1420082F"/>
    <w:rsid w:val="142257B6"/>
    <w:rsid w:val="144830BA"/>
    <w:rsid w:val="145A06C4"/>
    <w:rsid w:val="146124BC"/>
    <w:rsid w:val="146D2C0E"/>
    <w:rsid w:val="146D3637"/>
    <w:rsid w:val="14A81E98"/>
    <w:rsid w:val="14B00D4D"/>
    <w:rsid w:val="14B43819"/>
    <w:rsid w:val="14F41582"/>
    <w:rsid w:val="152F4351"/>
    <w:rsid w:val="153E27FD"/>
    <w:rsid w:val="1574621E"/>
    <w:rsid w:val="15751753"/>
    <w:rsid w:val="15B14D7D"/>
    <w:rsid w:val="163017E5"/>
    <w:rsid w:val="16331C36"/>
    <w:rsid w:val="163E0DC4"/>
    <w:rsid w:val="16635D30"/>
    <w:rsid w:val="168D57EA"/>
    <w:rsid w:val="168E50BE"/>
    <w:rsid w:val="16A84D90"/>
    <w:rsid w:val="16BF356F"/>
    <w:rsid w:val="16ED0036"/>
    <w:rsid w:val="1706734A"/>
    <w:rsid w:val="172C5003"/>
    <w:rsid w:val="172C6AFF"/>
    <w:rsid w:val="17824C23"/>
    <w:rsid w:val="178A7F7B"/>
    <w:rsid w:val="17B80644"/>
    <w:rsid w:val="17C0574B"/>
    <w:rsid w:val="17CA0378"/>
    <w:rsid w:val="17CF015D"/>
    <w:rsid w:val="17FD09D7"/>
    <w:rsid w:val="181066D2"/>
    <w:rsid w:val="18383533"/>
    <w:rsid w:val="18495C6A"/>
    <w:rsid w:val="187F2157"/>
    <w:rsid w:val="18B0756E"/>
    <w:rsid w:val="18CE20EA"/>
    <w:rsid w:val="190B6E9A"/>
    <w:rsid w:val="193463F1"/>
    <w:rsid w:val="194A5C14"/>
    <w:rsid w:val="19B66E06"/>
    <w:rsid w:val="19FE21FC"/>
    <w:rsid w:val="1A0166A8"/>
    <w:rsid w:val="1A312930"/>
    <w:rsid w:val="1A424B3D"/>
    <w:rsid w:val="1A6525DA"/>
    <w:rsid w:val="1A654388"/>
    <w:rsid w:val="1A66082C"/>
    <w:rsid w:val="1A6C3968"/>
    <w:rsid w:val="1A747DAB"/>
    <w:rsid w:val="1A864A2A"/>
    <w:rsid w:val="1AAC1FB7"/>
    <w:rsid w:val="1AE14356"/>
    <w:rsid w:val="1B0E67CD"/>
    <w:rsid w:val="1B99253B"/>
    <w:rsid w:val="1BB60D11"/>
    <w:rsid w:val="1BCA4DEA"/>
    <w:rsid w:val="1BD47A17"/>
    <w:rsid w:val="1BD73063"/>
    <w:rsid w:val="1BEA0FE8"/>
    <w:rsid w:val="1C095F13"/>
    <w:rsid w:val="1C33298F"/>
    <w:rsid w:val="1C3B6B15"/>
    <w:rsid w:val="1C752FA8"/>
    <w:rsid w:val="1CDB47F4"/>
    <w:rsid w:val="1CFA50BF"/>
    <w:rsid w:val="1D022362"/>
    <w:rsid w:val="1D156539"/>
    <w:rsid w:val="1D216BC2"/>
    <w:rsid w:val="1D290F49"/>
    <w:rsid w:val="1D4C5C6A"/>
    <w:rsid w:val="1D8334A3"/>
    <w:rsid w:val="1DAE4AAB"/>
    <w:rsid w:val="1DDC7057"/>
    <w:rsid w:val="1DE2466D"/>
    <w:rsid w:val="1E116D00"/>
    <w:rsid w:val="1E312EFF"/>
    <w:rsid w:val="1E42335E"/>
    <w:rsid w:val="1E4F624C"/>
    <w:rsid w:val="1E510B39"/>
    <w:rsid w:val="1E840553"/>
    <w:rsid w:val="1E960FB4"/>
    <w:rsid w:val="1EA90CE7"/>
    <w:rsid w:val="1EDF6DFF"/>
    <w:rsid w:val="1F332CA6"/>
    <w:rsid w:val="1F572E39"/>
    <w:rsid w:val="1F7237CF"/>
    <w:rsid w:val="1FB75686"/>
    <w:rsid w:val="1FC3227C"/>
    <w:rsid w:val="1FE355B2"/>
    <w:rsid w:val="2000527E"/>
    <w:rsid w:val="20436A9D"/>
    <w:rsid w:val="20452C91"/>
    <w:rsid w:val="204F58BE"/>
    <w:rsid w:val="209057F5"/>
    <w:rsid w:val="2093753B"/>
    <w:rsid w:val="20DD55C0"/>
    <w:rsid w:val="21162880"/>
    <w:rsid w:val="21335BFB"/>
    <w:rsid w:val="21350F58"/>
    <w:rsid w:val="21437AAE"/>
    <w:rsid w:val="214429F7"/>
    <w:rsid w:val="21AB3214"/>
    <w:rsid w:val="21D544E9"/>
    <w:rsid w:val="21F45804"/>
    <w:rsid w:val="22274D44"/>
    <w:rsid w:val="223C00C4"/>
    <w:rsid w:val="22461994"/>
    <w:rsid w:val="224A6326"/>
    <w:rsid w:val="226145DC"/>
    <w:rsid w:val="229B6EC7"/>
    <w:rsid w:val="22A81B30"/>
    <w:rsid w:val="22FF181D"/>
    <w:rsid w:val="230A01C2"/>
    <w:rsid w:val="230A1F70"/>
    <w:rsid w:val="23111551"/>
    <w:rsid w:val="23477BD8"/>
    <w:rsid w:val="23753C83"/>
    <w:rsid w:val="23952182"/>
    <w:rsid w:val="23A31679"/>
    <w:rsid w:val="23E6478B"/>
    <w:rsid w:val="2412732E"/>
    <w:rsid w:val="24B74FF1"/>
    <w:rsid w:val="24C50845"/>
    <w:rsid w:val="24D9062F"/>
    <w:rsid w:val="251D5F8B"/>
    <w:rsid w:val="25323A5B"/>
    <w:rsid w:val="257638ED"/>
    <w:rsid w:val="25F25669"/>
    <w:rsid w:val="25F82554"/>
    <w:rsid w:val="26105AEF"/>
    <w:rsid w:val="26154EB4"/>
    <w:rsid w:val="262B0B7B"/>
    <w:rsid w:val="263266C4"/>
    <w:rsid w:val="26600825"/>
    <w:rsid w:val="268A3AF4"/>
    <w:rsid w:val="26936254"/>
    <w:rsid w:val="26C32CCB"/>
    <w:rsid w:val="272A2BE1"/>
    <w:rsid w:val="27402404"/>
    <w:rsid w:val="274C3727"/>
    <w:rsid w:val="278422F1"/>
    <w:rsid w:val="279664C8"/>
    <w:rsid w:val="27D60501"/>
    <w:rsid w:val="27DC037F"/>
    <w:rsid w:val="28164F13"/>
    <w:rsid w:val="284C41F0"/>
    <w:rsid w:val="285048C9"/>
    <w:rsid w:val="28581FDA"/>
    <w:rsid w:val="28746246"/>
    <w:rsid w:val="28A644E9"/>
    <w:rsid w:val="28B210E0"/>
    <w:rsid w:val="28B5297E"/>
    <w:rsid w:val="28EA2F04"/>
    <w:rsid w:val="29233D8C"/>
    <w:rsid w:val="29336DAB"/>
    <w:rsid w:val="293E0BC6"/>
    <w:rsid w:val="2984482A"/>
    <w:rsid w:val="29E277A3"/>
    <w:rsid w:val="29EC23D0"/>
    <w:rsid w:val="29ED550D"/>
    <w:rsid w:val="29F623A2"/>
    <w:rsid w:val="2A043BBD"/>
    <w:rsid w:val="2A1C0F07"/>
    <w:rsid w:val="2A3C5105"/>
    <w:rsid w:val="2A5E2AF3"/>
    <w:rsid w:val="2A61688B"/>
    <w:rsid w:val="2A73664D"/>
    <w:rsid w:val="2A7F1496"/>
    <w:rsid w:val="2ACB0237"/>
    <w:rsid w:val="2B015D07"/>
    <w:rsid w:val="2B1B2F6C"/>
    <w:rsid w:val="2B367DA6"/>
    <w:rsid w:val="2B4A7790"/>
    <w:rsid w:val="2B5D55B1"/>
    <w:rsid w:val="2B630E1F"/>
    <w:rsid w:val="2B7E06E4"/>
    <w:rsid w:val="2B8D0BBC"/>
    <w:rsid w:val="2B920D55"/>
    <w:rsid w:val="2BAE3DE1"/>
    <w:rsid w:val="2BF10171"/>
    <w:rsid w:val="2C091613"/>
    <w:rsid w:val="2C3F6658"/>
    <w:rsid w:val="2C400A42"/>
    <w:rsid w:val="2C583C14"/>
    <w:rsid w:val="2C792640"/>
    <w:rsid w:val="2C8935A7"/>
    <w:rsid w:val="2C8A6AA3"/>
    <w:rsid w:val="2C997905"/>
    <w:rsid w:val="2D047A30"/>
    <w:rsid w:val="2D4D13D7"/>
    <w:rsid w:val="2D6E7DF3"/>
    <w:rsid w:val="2D7B7CF2"/>
    <w:rsid w:val="2DD9710F"/>
    <w:rsid w:val="2E266CC1"/>
    <w:rsid w:val="2E8452CD"/>
    <w:rsid w:val="2EE91D11"/>
    <w:rsid w:val="2EED1863"/>
    <w:rsid w:val="2EFA733D"/>
    <w:rsid w:val="2F37233F"/>
    <w:rsid w:val="2F6A2714"/>
    <w:rsid w:val="2F860BD0"/>
    <w:rsid w:val="2F9C6646"/>
    <w:rsid w:val="2FC516F9"/>
    <w:rsid w:val="2FD41849"/>
    <w:rsid w:val="2FEC4ED7"/>
    <w:rsid w:val="2FFD0E93"/>
    <w:rsid w:val="2FFF46B4"/>
    <w:rsid w:val="2FFF7540"/>
    <w:rsid w:val="302F28F4"/>
    <w:rsid w:val="30890978"/>
    <w:rsid w:val="30E8414E"/>
    <w:rsid w:val="30FA1876"/>
    <w:rsid w:val="30FE1366"/>
    <w:rsid w:val="31017B35"/>
    <w:rsid w:val="311A0754"/>
    <w:rsid w:val="313C3D20"/>
    <w:rsid w:val="31631E6F"/>
    <w:rsid w:val="31750EFD"/>
    <w:rsid w:val="318B24CE"/>
    <w:rsid w:val="32052040"/>
    <w:rsid w:val="32132169"/>
    <w:rsid w:val="32755658"/>
    <w:rsid w:val="32C01EDF"/>
    <w:rsid w:val="32CB5278"/>
    <w:rsid w:val="32CC0FF0"/>
    <w:rsid w:val="32D22AAA"/>
    <w:rsid w:val="32DB1233"/>
    <w:rsid w:val="32FD73FC"/>
    <w:rsid w:val="330C763F"/>
    <w:rsid w:val="33291F9F"/>
    <w:rsid w:val="333077D1"/>
    <w:rsid w:val="3350450F"/>
    <w:rsid w:val="338813BB"/>
    <w:rsid w:val="33893878"/>
    <w:rsid w:val="339A4C4A"/>
    <w:rsid w:val="33A70F5C"/>
    <w:rsid w:val="33E32712"/>
    <w:rsid w:val="34283B43"/>
    <w:rsid w:val="342D4D39"/>
    <w:rsid w:val="34475C56"/>
    <w:rsid w:val="34480B4A"/>
    <w:rsid w:val="346F60D7"/>
    <w:rsid w:val="347A51A8"/>
    <w:rsid w:val="347D07F4"/>
    <w:rsid w:val="34AB35B3"/>
    <w:rsid w:val="34C5219B"/>
    <w:rsid w:val="34DB145F"/>
    <w:rsid w:val="34E575E6"/>
    <w:rsid w:val="34EE524E"/>
    <w:rsid w:val="34F605A6"/>
    <w:rsid w:val="34FB2E38"/>
    <w:rsid w:val="35484EA2"/>
    <w:rsid w:val="3593788F"/>
    <w:rsid w:val="35A042F2"/>
    <w:rsid w:val="361231BE"/>
    <w:rsid w:val="371D006C"/>
    <w:rsid w:val="375C659B"/>
    <w:rsid w:val="37777799"/>
    <w:rsid w:val="379B6839"/>
    <w:rsid w:val="37B02C8E"/>
    <w:rsid w:val="37C50CCC"/>
    <w:rsid w:val="38064FA4"/>
    <w:rsid w:val="383542B2"/>
    <w:rsid w:val="38726196"/>
    <w:rsid w:val="38765C86"/>
    <w:rsid w:val="388050A5"/>
    <w:rsid w:val="38805412"/>
    <w:rsid w:val="38961E84"/>
    <w:rsid w:val="38B60778"/>
    <w:rsid w:val="38B92017"/>
    <w:rsid w:val="38D155B2"/>
    <w:rsid w:val="38D429AD"/>
    <w:rsid w:val="39455658"/>
    <w:rsid w:val="39755F3E"/>
    <w:rsid w:val="397B72CC"/>
    <w:rsid w:val="3A0E1EEE"/>
    <w:rsid w:val="3A2B4557"/>
    <w:rsid w:val="3A3E5D1A"/>
    <w:rsid w:val="3A4A3EF5"/>
    <w:rsid w:val="3A5B3385"/>
    <w:rsid w:val="3A944AE9"/>
    <w:rsid w:val="3AAC52E8"/>
    <w:rsid w:val="3AE80991"/>
    <w:rsid w:val="3AEF7F72"/>
    <w:rsid w:val="3B11613A"/>
    <w:rsid w:val="3B936B6B"/>
    <w:rsid w:val="3BAF04D3"/>
    <w:rsid w:val="3BB6283D"/>
    <w:rsid w:val="3BE15B0C"/>
    <w:rsid w:val="3C065573"/>
    <w:rsid w:val="3C37572C"/>
    <w:rsid w:val="3C5B60FB"/>
    <w:rsid w:val="3C9963E7"/>
    <w:rsid w:val="3CAB7EC8"/>
    <w:rsid w:val="3CCA47F2"/>
    <w:rsid w:val="3CD45671"/>
    <w:rsid w:val="3D385C00"/>
    <w:rsid w:val="3D463C05"/>
    <w:rsid w:val="3D4E5423"/>
    <w:rsid w:val="3D6B0303"/>
    <w:rsid w:val="3D820C29"/>
    <w:rsid w:val="3D9170BE"/>
    <w:rsid w:val="3DBF3C2B"/>
    <w:rsid w:val="3DFD17F7"/>
    <w:rsid w:val="3E0755D2"/>
    <w:rsid w:val="3E33453E"/>
    <w:rsid w:val="3E442382"/>
    <w:rsid w:val="3E682515"/>
    <w:rsid w:val="3E952BDE"/>
    <w:rsid w:val="3EA369D4"/>
    <w:rsid w:val="3EAC4ECD"/>
    <w:rsid w:val="3EE539D4"/>
    <w:rsid w:val="3F0F0BE2"/>
    <w:rsid w:val="3F1D07BC"/>
    <w:rsid w:val="3F2B65A7"/>
    <w:rsid w:val="3F5D36FC"/>
    <w:rsid w:val="3F7E3672"/>
    <w:rsid w:val="3F823162"/>
    <w:rsid w:val="3FC01EDD"/>
    <w:rsid w:val="3FCA4B09"/>
    <w:rsid w:val="3FE34B23"/>
    <w:rsid w:val="400B3158"/>
    <w:rsid w:val="40680891"/>
    <w:rsid w:val="40A11D0E"/>
    <w:rsid w:val="40A610D2"/>
    <w:rsid w:val="4101455B"/>
    <w:rsid w:val="41354204"/>
    <w:rsid w:val="41410DFB"/>
    <w:rsid w:val="414F176A"/>
    <w:rsid w:val="41B63597"/>
    <w:rsid w:val="41CF1E7C"/>
    <w:rsid w:val="41D601DF"/>
    <w:rsid w:val="425132C0"/>
    <w:rsid w:val="42823479"/>
    <w:rsid w:val="42B15965"/>
    <w:rsid w:val="42E859D2"/>
    <w:rsid w:val="42EB54C2"/>
    <w:rsid w:val="42ED23AC"/>
    <w:rsid w:val="42F73E67"/>
    <w:rsid w:val="430B346F"/>
    <w:rsid w:val="440E76BA"/>
    <w:rsid w:val="44154DB3"/>
    <w:rsid w:val="44191579"/>
    <w:rsid w:val="442A44F0"/>
    <w:rsid w:val="443D3AFC"/>
    <w:rsid w:val="447119F7"/>
    <w:rsid w:val="447D46C9"/>
    <w:rsid w:val="447F5EC2"/>
    <w:rsid w:val="44823C05"/>
    <w:rsid w:val="44891B76"/>
    <w:rsid w:val="45014B29"/>
    <w:rsid w:val="4508235C"/>
    <w:rsid w:val="452D591E"/>
    <w:rsid w:val="459E05CA"/>
    <w:rsid w:val="45AF0A29"/>
    <w:rsid w:val="45CF69D6"/>
    <w:rsid w:val="45E924B6"/>
    <w:rsid w:val="45EC7588"/>
    <w:rsid w:val="46164C00"/>
    <w:rsid w:val="46185D7C"/>
    <w:rsid w:val="461D5993"/>
    <w:rsid w:val="46584C1D"/>
    <w:rsid w:val="466435C2"/>
    <w:rsid w:val="46753A21"/>
    <w:rsid w:val="46AA2F9F"/>
    <w:rsid w:val="46BD0F24"/>
    <w:rsid w:val="46E2098A"/>
    <w:rsid w:val="4701612B"/>
    <w:rsid w:val="47024B89"/>
    <w:rsid w:val="471F40B7"/>
    <w:rsid w:val="47590C4D"/>
    <w:rsid w:val="475A0BC9"/>
    <w:rsid w:val="47C933BF"/>
    <w:rsid w:val="47F95F8C"/>
    <w:rsid w:val="48825F81"/>
    <w:rsid w:val="48904B42"/>
    <w:rsid w:val="48B84099"/>
    <w:rsid w:val="48FA020D"/>
    <w:rsid w:val="49170DBF"/>
    <w:rsid w:val="49303C2F"/>
    <w:rsid w:val="493A685C"/>
    <w:rsid w:val="495F2766"/>
    <w:rsid w:val="496E4757"/>
    <w:rsid w:val="49867CF3"/>
    <w:rsid w:val="49871904"/>
    <w:rsid w:val="49AE07A9"/>
    <w:rsid w:val="49B45048"/>
    <w:rsid w:val="49D34575"/>
    <w:rsid w:val="49E62540"/>
    <w:rsid w:val="4A29524D"/>
    <w:rsid w:val="4A2C2648"/>
    <w:rsid w:val="4A467C72"/>
    <w:rsid w:val="4A5D4EF8"/>
    <w:rsid w:val="4A706B2E"/>
    <w:rsid w:val="4A7C7E69"/>
    <w:rsid w:val="4A814C87"/>
    <w:rsid w:val="4AAA5C63"/>
    <w:rsid w:val="4ABB1C1E"/>
    <w:rsid w:val="4B422DB4"/>
    <w:rsid w:val="4B5D4A84"/>
    <w:rsid w:val="4B706B2B"/>
    <w:rsid w:val="4BBE3774"/>
    <w:rsid w:val="4BC53557"/>
    <w:rsid w:val="4BC539F7"/>
    <w:rsid w:val="4BD5286C"/>
    <w:rsid w:val="4BF76C86"/>
    <w:rsid w:val="4CCD51B4"/>
    <w:rsid w:val="4CCE79E7"/>
    <w:rsid w:val="4D185106"/>
    <w:rsid w:val="4DA4699A"/>
    <w:rsid w:val="4DBA5DD4"/>
    <w:rsid w:val="4DC53006"/>
    <w:rsid w:val="4E154BE6"/>
    <w:rsid w:val="4E2D698F"/>
    <w:rsid w:val="4E360759"/>
    <w:rsid w:val="4E74636C"/>
    <w:rsid w:val="4EA56E6D"/>
    <w:rsid w:val="4EF851EF"/>
    <w:rsid w:val="4EFA0F67"/>
    <w:rsid w:val="4EFF657E"/>
    <w:rsid w:val="4F0B78D1"/>
    <w:rsid w:val="4F1D025F"/>
    <w:rsid w:val="4F2F6737"/>
    <w:rsid w:val="4F6477EB"/>
    <w:rsid w:val="4FDB580B"/>
    <w:rsid w:val="4FE52C74"/>
    <w:rsid w:val="500D4CCA"/>
    <w:rsid w:val="50F32112"/>
    <w:rsid w:val="512001F3"/>
    <w:rsid w:val="51320FAB"/>
    <w:rsid w:val="51656440"/>
    <w:rsid w:val="51B3719F"/>
    <w:rsid w:val="51E759C7"/>
    <w:rsid w:val="5257222D"/>
    <w:rsid w:val="526F3A1A"/>
    <w:rsid w:val="52976ACD"/>
    <w:rsid w:val="52A1794C"/>
    <w:rsid w:val="52E55A8A"/>
    <w:rsid w:val="533407C0"/>
    <w:rsid w:val="538F49C1"/>
    <w:rsid w:val="539F3E8B"/>
    <w:rsid w:val="53C877ED"/>
    <w:rsid w:val="53F1045F"/>
    <w:rsid w:val="540208BE"/>
    <w:rsid w:val="544C605D"/>
    <w:rsid w:val="546E1AAF"/>
    <w:rsid w:val="54C067AF"/>
    <w:rsid w:val="54C72DC0"/>
    <w:rsid w:val="54D264E2"/>
    <w:rsid w:val="55067F3A"/>
    <w:rsid w:val="556F1F83"/>
    <w:rsid w:val="55747599"/>
    <w:rsid w:val="558327A4"/>
    <w:rsid w:val="55904C14"/>
    <w:rsid w:val="55A75736"/>
    <w:rsid w:val="55C45E2B"/>
    <w:rsid w:val="55D41E21"/>
    <w:rsid w:val="55F3636C"/>
    <w:rsid w:val="55FE7D15"/>
    <w:rsid w:val="56064695"/>
    <w:rsid w:val="560C77D2"/>
    <w:rsid w:val="56187F25"/>
    <w:rsid w:val="56383D43"/>
    <w:rsid w:val="56440D1A"/>
    <w:rsid w:val="565847C5"/>
    <w:rsid w:val="56707D61"/>
    <w:rsid w:val="56A31EE4"/>
    <w:rsid w:val="56B063AF"/>
    <w:rsid w:val="56BD505E"/>
    <w:rsid w:val="56C41E5B"/>
    <w:rsid w:val="56C500AD"/>
    <w:rsid w:val="56D46542"/>
    <w:rsid w:val="57064221"/>
    <w:rsid w:val="57135A6D"/>
    <w:rsid w:val="572823EA"/>
    <w:rsid w:val="575925A3"/>
    <w:rsid w:val="57620007"/>
    <w:rsid w:val="578A6C00"/>
    <w:rsid w:val="57CA6432"/>
    <w:rsid w:val="58727DC0"/>
    <w:rsid w:val="5879310A"/>
    <w:rsid w:val="58952615"/>
    <w:rsid w:val="58AB6E2E"/>
    <w:rsid w:val="58BA52C3"/>
    <w:rsid w:val="58E93D0E"/>
    <w:rsid w:val="59060509"/>
    <w:rsid w:val="591508FA"/>
    <w:rsid w:val="5923730C"/>
    <w:rsid w:val="594159E5"/>
    <w:rsid w:val="594D25DB"/>
    <w:rsid w:val="598C4EB2"/>
    <w:rsid w:val="59B22918"/>
    <w:rsid w:val="59BB12F3"/>
    <w:rsid w:val="59D64BD9"/>
    <w:rsid w:val="59F12012"/>
    <w:rsid w:val="5A0013FC"/>
    <w:rsid w:val="5A323D06"/>
    <w:rsid w:val="5A455061"/>
    <w:rsid w:val="5A7476F4"/>
    <w:rsid w:val="5A793B84"/>
    <w:rsid w:val="5A801805"/>
    <w:rsid w:val="5A885CFF"/>
    <w:rsid w:val="5A9304C2"/>
    <w:rsid w:val="5AA77AC9"/>
    <w:rsid w:val="5AA8101D"/>
    <w:rsid w:val="5AB26B9A"/>
    <w:rsid w:val="5AEE7B23"/>
    <w:rsid w:val="5B422D92"/>
    <w:rsid w:val="5B484E08"/>
    <w:rsid w:val="5B5D33F4"/>
    <w:rsid w:val="5B6360E6"/>
    <w:rsid w:val="5B6A0C36"/>
    <w:rsid w:val="5BA1276A"/>
    <w:rsid w:val="5BF44F90"/>
    <w:rsid w:val="5C2C0286"/>
    <w:rsid w:val="5C2D3FFE"/>
    <w:rsid w:val="5C367357"/>
    <w:rsid w:val="5C5123E2"/>
    <w:rsid w:val="5C6D4918"/>
    <w:rsid w:val="5C9347A9"/>
    <w:rsid w:val="5CC130C4"/>
    <w:rsid w:val="5CC167E4"/>
    <w:rsid w:val="5CCC3817"/>
    <w:rsid w:val="5CD1707F"/>
    <w:rsid w:val="5CE3204E"/>
    <w:rsid w:val="5D1F428F"/>
    <w:rsid w:val="5D333896"/>
    <w:rsid w:val="5D53188E"/>
    <w:rsid w:val="5D681792"/>
    <w:rsid w:val="5D6E37C6"/>
    <w:rsid w:val="5DA008A5"/>
    <w:rsid w:val="5DB1157B"/>
    <w:rsid w:val="5DC10EA2"/>
    <w:rsid w:val="5DE50180"/>
    <w:rsid w:val="5E053485"/>
    <w:rsid w:val="5E0C65C1"/>
    <w:rsid w:val="5F103E8F"/>
    <w:rsid w:val="5F2A3265"/>
    <w:rsid w:val="5F3E6C4E"/>
    <w:rsid w:val="5F4260CC"/>
    <w:rsid w:val="5F7F229F"/>
    <w:rsid w:val="5F9A7C49"/>
    <w:rsid w:val="5FB567E4"/>
    <w:rsid w:val="5FC1162D"/>
    <w:rsid w:val="5FF46D06"/>
    <w:rsid w:val="609D1752"/>
    <w:rsid w:val="60AF1486"/>
    <w:rsid w:val="60EC092C"/>
    <w:rsid w:val="615838CB"/>
    <w:rsid w:val="616C7377"/>
    <w:rsid w:val="617D1584"/>
    <w:rsid w:val="61FB0E26"/>
    <w:rsid w:val="621041A6"/>
    <w:rsid w:val="62562270"/>
    <w:rsid w:val="627B15F9"/>
    <w:rsid w:val="62913539"/>
    <w:rsid w:val="6333639E"/>
    <w:rsid w:val="634B193A"/>
    <w:rsid w:val="635A1B7D"/>
    <w:rsid w:val="636925F5"/>
    <w:rsid w:val="63A96660"/>
    <w:rsid w:val="63AB062A"/>
    <w:rsid w:val="63DC6A36"/>
    <w:rsid w:val="63FE546D"/>
    <w:rsid w:val="643A375C"/>
    <w:rsid w:val="644D348F"/>
    <w:rsid w:val="64744EC0"/>
    <w:rsid w:val="64A05CB5"/>
    <w:rsid w:val="64A80B3B"/>
    <w:rsid w:val="64C475DB"/>
    <w:rsid w:val="64CD1105"/>
    <w:rsid w:val="65857EE9"/>
    <w:rsid w:val="65AC2438"/>
    <w:rsid w:val="65D56C13"/>
    <w:rsid w:val="662D17CA"/>
    <w:rsid w:val="663D12E2"/>
    <w:rsid w:val="664D3C1B"/>
    <w:rsid w:val="6659436D"/>
    <w:rsid w:val="66613222"/>
    <w:rsid w:val="668554AA"/>
    <w:rsid w:val="66A6332B"/>
    <w:rsid w:val="66BA2932"/>
    <w:rsid w:val="66E3632D"/>
    <w:rsid w:val="66FC2F4B"/>
    <w:rsid w:val="67144738"/>
    <w:rsid w:val="67256946"/>
    <w:rsid w:val="672901E4"/>
    <w:rsid w:val="6747066A"/>
    <w:rsid w:val="676D306E"/>
    <w:rsid w:val="67966EFB"/>
    <w:rsid w:val="67B6134C"/>
    <w:rsid w:val="67F51E74"/>
    <w:rsid w:val="68530820"/>
    <w:rsid w:val="685C1EF3"/>
    <w:rsid w:val="68BE495C"/>
    <w:rsid w:val="68EA39A3"/>
    <w:rsid w:val="693370F8"/>
    <w:rsid w:val="69782D5D"/>
    <w:rsid w:val="69AC6EAA"/>
    <w:rsid w:val="69B53FB1"/>
    <w:rsid w:val="69C02956"/>
    <w:rsid w:val="69E53ABA"/>
    <w:rsid w:val="6A040A94"/>
    <w:rsid w:val="6A164324"/>
    <w:rsid w:val="6A2B6021"/>
    <w:rsid w:val="6A7066C9"/>
    <w:rsid w:val="6A723C50"/>
    <w:rsid w:val="6A95793E"/>
    <w:rsid w:val="6AB82781"/>
    <w:rsid w:val="6B9B71D6"/>
    <w:rsid w:val="6BB10A4A"/>
    <w:rsid w:val="6BE23A64"/>
    <w:rsid w:val="6CE16E6B"/>
    <w:rsid w:val="6CFF1034"/>
    <w:rsid w:val="6D1B76F0"/>
    <w:rsid w:val="6D501E6E"/>
    <w:rsid w:val="6D5F7BD0"/>
    <w:rsid w:val="6D65482F"/>
    <w:rsid w:val="6DC9627D"/>
    <w:rsid w:val="6E4C0C5C"/>
    <w:rsid w:val="6E934195"/>
    <w:rsid w:val="6E9F7D13"/>
    <w:rsid w:val="6F440FE1"/>
    <w:rsid w:val="6F991C7F"/>
    <w:rsid w:val="6FF05BC4"/>
    <w:rsid w:val="70227EC6"/>
    <w:rsid w:val="70294DB1"/>
    <w:rsid w:val="70553BB0"/>
    <w:rsid w:val="70662F56"/>
    <w:rsid w:val="70763D6E"/>
    <w:rsid w:val="708F16A8"/>
    <w:rsid w:val="70D56CE6"/>
    <w:rsid w:val="70FC0717"/>
    <w:rsid w:val="71153587"/>
    <w:rsid w:val="71193077"/>
    <w:rsid w:val="71357785"/>
    <w:rsid w:val="716F0EE9"/>
    <w:rsid w:val="71883D59"/>
    <w:rsid w:val="719941B8"/>
    <w:rsid w:val="719F0B3A"/>
    <w:rsid w:val="71A212BE"/>
    <w:rsid w:val="71A61597"/>
    <w:rsid w:val="71BE500D"/>
    <w:rsid w:val="71E06BF0"/>
    <w:rsid w:val="72005FE5"/>
    <w:rsid w:val="7238752D"/>
    <w:rsid w:val="72592FF0"/>
    <w:rsid w:val="72B172DF"/>
    <w:rsid w:val="72E72D01"/>
    <w:rsid w:val="72EA6E3E"/>
    <w:rsid w:val="736600CA"/>
    <w:rsid w:val="7379604F"/>
    <w:rsid w:val="738F5872"/>
    <w:rsid w:val="73D6524F"/>
    <w:rsid w:val="73F676A0"/>
    <w:rsid w:val="740E74C3"/>
    <w:rsid w:val="7416389E"/>
    <w:rsid w:val="74302EA8"/>
    <w:rsid w:val="744E128A"/>
    <w:rsid w:val="74A569D0"/>
    <w:rsid w:val="74CF1C9F"/>
    <w:rsid w:val="75100625"/>
    <w:rsid w:val="75115F8D"/>
    <w:rsid w:val="753A180E"/>
    <w:rsid w:val="753C7334"/>
    <w:rsid w:val="75524DAA"/>
    <w:rsid w:val="755A09EA"/>
    <w:rsid w:val="756D1BE3"/>
    <w:rsid w:val="756E770A"/>
    <w:rsid w:val="75793438"/>
    <w:rsid w:val="758C77FB"/>
    <w:rsid w:val="75986535"/>
    <w:rsid w:val="75DD086C"/>
    <w:rsid w:val="75E10F53"/>
    <w:rsid w:val="76045978"/>
    <w:rsid w:val="76092002"/>
    <w:rsid w:val="766D79C1"/>
    <w:rsid w:val="768014A2"/>
    <w:rsid w:val="769811C1"/>
    <w:rsid w:val="76B949B4"/>
    <w:rsid w:val="77274014"/>
    <w:rsid w:val="774B1993"/>
    <w:rsid w:val="7754164F"/>
    <w:rsid w:val="77910151"/>
    <w:rsid w:val="77D04D49"/>
    <w:rsid w:val="78067B58"/>
    <w:rsid w:val="781E0F73"/>
    <w:rsid w:val="78232A2D"/>
    <w:rsid w:val="7840538D"/>
    <w:rsid w:val="78774B27"/>
    <w:rsid w:val="78992CEF"/>
    <w:rsid w:val="789D458E"/>
    <w:rsid w:val="78CF7625"/>
    <w:rsid w:val="791365FE"/>
    <w:rsid w:val="798412AA"/>
    <w:rsid w:val="79984D55"/>
    <w:rsid w:val="79D815F5"/>
    <w:rsid w:val="79DC2E94"/>
    <w:rsid w:val="7A0917AF"/>
    <w:rsid w:val="7A0F14BB"/>
    <w:rsid w:val="7A123606"/>
    <w:rsid w:val="7A1E525A"/>
    <w:rsid w:val="7A2059C7"/>
    <w:rsid w:val="7A211FA2"/>
    <w:rsid w:val="7A2E1215"/>
    <w:rsid w:val="7A4801DC"/>
    <w:rsid w:val="7B1623D5"/>
    <w:rsid w:val="7B2208BF"/>
    <w:rsid w:val="7B220D7A"/>
    <w:rsid w:val="7B294712"/>
    <w:rsid w:val="7B6A44CF"/>
    <w:rsid w:val="7BB25888"/>
    <w:rsid w:val="7BE91898"/>
    <w:rsid w:val="7BEF6C86"/>
    <w:rsid w:val="7BF5023D"/>
    <w:rsid w:val="7C225794"/>
    <w:rsid w:val="7C2D79D7"/>
    <w:rsid w:val="7C3E3AFF"/>
    <w:rsid w:val="7C741AA9"/>
    <w:rsid w:val="7C9C690A"/>
    <w:rsid w:val="7CA81753"/>
    <w:rsid w:val="7CC04CEF"/>
    <w:rsid w:val="7CF95B0B"/>
    <w:rsid w:val="7D67516A"/>
    <w:rsid w:val="7D782ED3"/>
    <w:rsid w:val="7D796C4C"/>
    <w:rsid w:val="7D831878"/>
    <w:rsid w:val="7D8E595A"/>
    <w:rsid w:val="7DA60CE3"/>
    <w:rsid w:val="7DCF6C0A"/>
    <w:rsid w:val="7DD63059"/>
    <w:rsid w:val="7E002EC9"/>
    <w:rsid w:val="7E026C41"/>
    <w:rsid w:val="7E156974"/>
    <w:rsid w:val="7E1D345E"/>
    <w:rsid w:val="7E6873EC"/>
    <w:rsid w:val="7E9E4BBC"/>
    <w:rsid w:val="7F192494"/>
    <w:rsid w:val="7F2E36C3"/>
    <w:rsid w:val="7F594F87"/>
    <w:rsid w:val="7F6C4CBA"/>
    <w:rsid w:val="7F855D7C"/>
    <w:rsid w:val="7F8E4C30"/>
    <w:rsid w:val="7F9B559F"/>
    <w:rsid w:val="7FDD5BB8"/>
    <w:rsid w:val="F7F5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qFormat/>
    <w:uiPriority w:val="1"/>
    <w:pPr>
      <w:ind w:right="576" w:hanging="420"/>
      <w:outlineLvl w:val="0"/>
    </w:pPr>
    <w:rPr>
      <w:sz w:val="84"/>
      <w:szCs w:val="84"/>
    </w:rPr>
  </w:style>
  <w:style w:type="paragraph" w:styleId="5">
    <w:name w:val="heading 2"/>
    <w:basedOn w:val="1"/>
    <w:next w:val="1"/>
    <w:qFormat/>
    <w:uiPriority w:val="1"/>
    <w:pPr>
      <w:spacing w:before="32"/>
      <w:jc w:val="center"/>
      <w:outlineLvl w:val="1"/>
    </w:pPr>
    <w:rPr>
      <w:b/>
      <w:bCs/>
      <w:sz w:val="32"/>
      <w:szCs w:val="32"/>
    </w:rPr>
  </w:style>
  <w:style w:type="paragraph" w:styleId="6">
    <w:name w:val="heading 3"/>
    <w:basedOn w:val="1"/>
    <w:next w:val="1"/>
    <w:qFormat/>
    <w:uiPriority w:val="1"/>
    <w:pPr>
      <w:ind w:left="1227" w:hanging="426"/>
      <w:outlineLvl w:val="2"/>
    </w:pPr>
    <w:rPr>
      <w:b/>
      <w:bCs/>
      <w:sz w:val="28"/>
      <w:szCs w:val="28"/>
    </w:rPr>
  </w:style>
  <w:style w:type="paragraph" w:styleId="7">
    <w:name w:val="heading 4"/>
    <w:basedOn w:val="1"/>
    <w:next w:val="1"/>
    <w:qFormat/>
    <w:uiPriority w:val="1"/>
    <w:pPr>
      <w:ind w:left="285"/>
      <w:outlineLvl w:val="3"/>
    </w:pPr>
    <w:rPr>
      <w:sz w:val="28"/>
      <w:szCs w:val="28"/>
    </w:rPr>
  </w:style>
  <w:style w:type="paragraph" w:styleId="8">
    <w:name w:val="heading 5"/>
    <w:basedOn w:val="1"/>
    <w:next w:val="1"/>
    <w:link w:val="27"/>
    <w:qFormat/>
    <w:uiPriority w:val="1"/>
    <w:pPr>
      <w:ind w:left="1357"/>
      <w:outlineLvl w:val="4"/>
    </w:pPr>
    <w:rPr>
      <w:b/>
      <w:bCs/>
      <w:i/>
      <w:sz w:val="25"/>
      <w:szCs w:val="25"/>
    </w:rPr>
  </w:style>
  <w:style w:type="paragraph" w:styleId="9">
    <w:name w:val="heading 6"/>
    <w:basedOn w:val="1"/>
    <w:next w:val="1"/>
    <w:link w:val="26"/>
    <w:qFormat/>
    <w:uiPriority w:val="1"/>
    <w:pPr>
      <w:ind w:left="716"/>
      <w:outlineLvl w:val="5"/>
    </w:pPr>
    <w:rPr>
      <w:b/>
      <w:bCs/>
      <w:sz w:val="24"/>
      <w:szCs w:val="24"/>
    </w:rPr>
  </w:style>
  <w:style w:type="paragraph" w:styleId="10">
    <w:name w:val="heading 7"/>
    <w:basedOn w:val="1"/>
    <w:next w:val="1"/>
    <w:link w:val="30"/>
    <w:unhideWhenUsed/>
    <w:qFormat/>
    <w:uiPriority w:val="0"/>
    <w:pPr>
      <w:keepNext/>
      <w:keepLines/>
      <w:spacing w:before="240" w:after="64" w:line="320" w:lineRule="auto"/>
      <w:outlineLvl w:val="6"/>
    </w:pPr>
    <w:rPr>
      <w:b/>
      <w:bCs/>
      <w:sz w:val="24"/>
      <w:szCs w:val="24"/>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customStyle="1" w:styleId="2">
    <w:name w:val="表格文字"/>
    <w:basedOn w:val="1"/>
    <w:next w:val="3"/>
    <w:qFormat/>
    <w:uiPriority w:val="0"/>
    <w:pPr>
      <w:adjustRightInd w:val="0"/>
      <w:spacing w:line="420" w:lineRule="atLeast"/>
      <w:textAlignment w:val="baseline"/>
    </w:pPr>
    <w:rPr>
      <w:rFonts w:ascii="Times New Roman"/>
      <w:szCs w:val="24"/>
    </w:rPr>
  </w:style>
  <w:style w:type="paragraph" w:styleId="3">
    <w:name w:val="Body Text"/>
    <w:basedOn w:val="1"/>
    <w:next w:val="1"/>
    <w:link w:val="34"/>
    <w:qFormat/>
    <w:uiPriority w:val="1"/>
    <w:rPr>
      <w:sz w:val="24"/>
      <w:szCs w:val="24"/>
    </w:rPr>
  </w:style>
  <w:style w:type="paragraph" w:styleId="11">
    <w:name w:val="Body Text Indent"/>
    <w:basedOn w:val="1"/>
    <w:link w:val="31"/>
    <w:qFormat/>
    <w:uiPriority w:val="0"/>
    <w:pPr>
      <w:spacing w:after="120"/>
      <w:ind w:left="420" w:leftChars="200"/>
    </w:pPr>
  </w:style>
  <w:style w:type="paragraph" w:styleId="12">
    <w:name w:val="footer"/>
    <w:basedOn w:val="1"/>
    <w:link w:val="29"/>
    <w:qFormat/>
    <w:uiPriority w:val="99"/>
    <w:pPr>
      <w:tabs>
        <w:tab w:val="center" w:pos="4153"/>
        <w:tab w:val="right" w:pos="8306"/>
      </w:tabs>
      <w:snapToGrid w:val="0"/>
    </w:pPr>
    <w:rPr>
      <w:sz w:val="18"/>
      <w:szCs w:val="18"/>
    </w:rPr>
  </w:style>
  <w:style w:type="paragraph" w:styleId="13">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1"/>
    <w:pPr>
      <w:spacing w:before="2"/>
      <w:ind w:right="121"/>
      <w:jc w:val="right"/>
    </w:pPr>
    <w:rPr>
      <w:sz w:val="21"/>
      <w:szCs w:val="21"/>
    </w:rPr>
  </w:style>
  <w:style w:type="paragraph" w:styleId="15">
    <w:name w:val="toc 2"/>
    <w:basedOn w:val="1"/>
    <w:next w:val="1"/>
    <w:qFormat/>
    <w:uiPriority w:val="1"/>
    <w:pPr>
      <w:spacing w:before="2"/>
      <w:ind w:left="122"/>
    </w:pPr>
    <w:rPr>
      <w:sz w:val="21"/>
      <w:szCs w:val="21"/>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cs="Times New Roman"/>
      <w:sz w:val="24"/>
      <w:szCs w:val="24"/>
      <w:lang w:val="en-US" w:bidi="ar-SA"/>
    </w:rPr>
  </w:style>
  <w:style w:type="paragraph" w:styleId="17">
    <w:name w:val="Normal (Web)"/>
    <w:basedOn w:val="1"/>
    <w:qFormat/>
    <w:uiPriority w:val="0"/>
    <w:pPr>
      <w:spacing w:beforeAutospacing="1" w:afterAutospacing="1"/>
    </w:pPr>
    <w:rPr>
      <w:rFonts w:cs="Times New Roman"/>
      <w:sz w:val="24"/>
      <w:lang w:val="en-US" w:bidi="ar-SA"/>
    </w:rPr>
  </w:style>
  <w:style w:type="paragraph" w:styleId="18">
    <w:name w:val="Body Text First Indent 2"/>
    <w:basedOn w:val="11"/>
    <w:link w:val="32"/>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Table Normal"/>
    <w:unhideWhenUsed/>
    <w:qFormat/>
    <w:uiPriority w:val="2"/>
    <w:tblPr>
      <w:tblCellMar>
        <w:top w:w="0" w:type="dxa"/>
        <w:left w:w="0" w:type="dxa"/>
        <w:bottom w:w="0" w:type="dxa"/>
        <w:right w:w="0" w:type="dxa"/>
      </w:tblCellMar>
    </w:tblPr>
  </w:style>
  <w:style w:type="paragraph" w:customStyle="1" w:styleId="23">
    <w:name w:val="List Paragraph"/>
    <w:basedOn w:val="1"/>
    <w:qFormat/>
    <w:uiPriority w:val="1"/>
    <w:pPr>
      <w:ind w:left="475" w:firstLine="480"/>
    </w:pPr>
  </w:style>
  <w:style w:type="paragraph" w:customStyle="1" w:styleId="24">
    <w:name w:val="Table Paragraph"/>
    <w:basedOn w:val="1"/>
    <w:qFormat/>
    <w:uiPriority w:val="1"/>
  </w:style>
  <w:style w:type="character" w:customStyle="1" w:styleId="25">
    <w:name w:val="font51"/>
    <w:qFormat/>
    <w:uiPriority w:val="0"/>
    <w:rPr>
      <w:rFonts w:hint="eastAsia" w:ascii="宋体" w:hAnsi="宋体" w:eastAsia="宋体" w:cs="宋体"/>
      <w:color w:val="000000"/>
      <w:sz w:val="24"/>
      <w:szCs w:val="24"/>
      <w:u w:val="none"/>
    </w:rPr>
  </w:style>
  <w:style w:type="character" w:customStyle="1" w:styleId="26">
    <w:name w:val="标题 6 字符"/>
    <w:link w:val="9"/>
    <w:qFormat/>
    <w:uiPriority w:val="1"/>
    <w:rPr>
      <w:rFonts w:ascii="宋体" w:hAnsi="宋体" w:eastAsia="宋体" w:cs="宋体"/>
      <w:b/>
      <w:bCs/>
      <w:sz w:val="24"/>
      <w:szCs w:val="24"/>
      <w:lang w:val="zh-CN" w:eastAsia="zh-CN" w:bidi="zh-CN"/>
    </w:rPr>
  </w:style>
  <w:style w:type="character" w:customStyle="1" w:styleId="27">
    <w:name w:val="标题 5 字符"/>
    <w:link w:val="8"/>
    <w:qFormat/>
    <w:uiPriority w:val="1"/>
    <w:rPr>
      <w:rFonts w:ascii="宋体" w:hAnsi="宋体" w:eastAsia="宋体" w:cs="宋体"/>
      <w:b/>
      <w:bCs/>
      <w:i/>
      <w:sz w:val="25"/>
      <w:szCs w:val="25"/>
      <w:lang w:val="zh-CN" w:eastAsia="zh-CN" w:bidi="zh-CN"/>
    </w:rPr>
  </w:style>
  <w:style w:type="character" w:customStyle="1" w:styleId="28">
    <w:name w:val="页眉 字符"/>
    <w:basedOn w:val="21"/>
    <w:link w:val="13"/>
    <w:qFormat/>
    <w:uiPriority w:val="0"/>
    <w:rPr>
      <w:rFonts w:ascii="宋体" w:hAnsi="宋体" w:cs="宋体"/>
      <w:sz w:val="18"/>
      <w:szCs w:val="18"/>
      <w:lang w:val="zh-CN" w:bidi="zh-CN"/>
    </w:rPr>
  </w:style>
  <w:style w:type="character" w:customStyle="1" w:styleId="29">
    <w:name w:val="页脚 字符"/>
    <w:basedOn w:val="21"/>
    <w:link w:val="12"/>
    <w:qFormat/>
    <w:uiPriority w:val="99"/>
    <w:rPr>
      <w:rFonts w:ascii="宋体" w:hAnsi="宋体" w:cs="宋体"/>
      <w:sz w:val="18"/>
      <w:szCs w:val="18"/>
      <w:lang w:val="zh-CN" w:bidi="zh-CN"/>
    </w:rPr>
  </w:style>
  <w:style w:type="character" w:customStyle="1" w:styleId="30">
    <w:name w:val="标题 7 字符"/>
    <w:basedOn w:val="21"/>
    <w:link w:val="10"/>
    <w:qFormat/>
    <w:uiPriority w:val="0"/>
    <w:rPr>
      <w:rFonts w:ascii="宋体" w:hAnsi="宋体" w:cs="宋体"/>
      <w:b/>
      <w:bCs/>
      <w:sz w:val="24"/>
      <w:szCs w:val="24"/>
      <w:lang w:val="zh-CN" w:bidi="zh-CN"/>
    </w:rPr>
  </w:style>
  <w:style w:type="character" w:customStyle="1" w:styleId="31">
    <w:name w:val="正文文本缩进 字符"/>
    <w:basedOn w:val="21"/>
    <w:link w:val="11"/>
    <w:qFormat/>
    <w:uiPriority w:val="0"/>
    <w:rPr>
      <w:rFonts w:ascii="宋体" w:hAnsi="宋体" w:cs="宋体"/>
      <w:sz w:val="22"/>
      <w:szCs w:val="22"/>
      <w:lang w:val="zh-CN" w:bidi="zh-CN"/>
    </w:rPr>
  </w:style>
  <w:style w:type="character" w:customStyle="1" w:styleId="32">
    <w:name w:val="正文文本首行缩进 2 字符"/>
    <w:basedOn w:val="31"/>
    <w:link w:val="18"/>
    <w:qFormat/>
    <w:uiPriority w:val="0"/>
    <w:rPr>
      <w:rFonts w:ascii="宋体" w:hAnsi="宋体" w:cs="宋体"/>
      <w:sz w:val="22"/>
      <w:szCs w:val="22"/>
      <w:lang w:val="zh-CN" w:bidi="zh-CN"/>
    </w:rPr>
  </w:style>
  <w:style w:type="character" w:customStyle="1" w:styleId="33">
    <w:name w:val="正文文本缩进 Char Char"/>
    <w:qFormat/>
    <w:uiPriority w:val="0"/>
    <w:rPr>
      <w:rFonts w:ascii="Tahoma" w:hAnsi="Tahoma"/>
      <w:kern w:val="2"/>
      <w:sz w:val="21"/>
      <w:szCs w:val="24"/>
    </w:rPr>
  </w:style>
  <w:style w:type="character" w:customStyle="1" w:styleId="34">
    <w:name w:val="正文文本 字符"/>
    <w:basedOn w:val="21"/>
    <w:link w:val="3"/>
    <w:qFormat/>
    <w:uiPriority w:val="1"/>
    <w:rPr>
      <w:rFonts w:ascii="宋体" w:hAnsi="宋体" w:cs="宋体"/>
      <w:sz w:val="24"/>
      <w:szCs w:val="24"/>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1581</Words>
  <Characters>1644</Characters>
  <Lines>86</Lines>
  <Paragraphs>24</Paragraphs>
  <TotalTime>4</TotalTime>
  <ScaleCrop>false</ScaleCrop>
  <LinksUpToDate>false</LinksUpToDate>
  <CharactersWithSpaces>1666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2021-11-25T11:07:00Z</dcterms:created>
  <dc:creator>hxw</dc:creator>
  <cp:lastModifiedBy>his</cp:lastModifiedBy>
  <dcterms:modified xsi:type="dcterms:W3CDTF">2022-05-06T02:35:26Z</dcterms:modified>
  <dc:title>台州市立医院招标文件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2020-09-01T00:00:00Z</vt:filetime>
  </property>
  <property fmtid="{D5CDD505-2E9C-101B-9397-08002B2CF9AE}" pid="3" name="Creator">
    <vt:lpwstr>WPS 文字</vt:lpwstr>
  </property>
  <property fmtid="{D5CDD505-2E9C-101B-9397-08002B2CF9AE}" pid="4" name="LastSaved">
    <vt:filetime>2020-09-03T00:00:00Z</vt:filetime>
  </property>
  <property fmtid="{D5CDD505-2E9C-101B-9397-08002B2CF9AE}" pid="5" name="KSOProductBuildVer">
    <vt:lpwstr>2052-11.1.0.11636</vt:lpwstr>
  </property>
  <property fmtid="{D5CDD505-2E9C-101B-9397-08002B2CF9AE}" pid="6" name="ICV">
    <vt:lpwstr>997C66769E8140AA84FAE02BEBF0CBF2</vt:lpwstr>
  </property>
</Properties>
</file>