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B6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信息化项目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（二期工程网络设备）</w:t>
      </w:r>
    </w:p>
    <w:p w14:paraId="794417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18DA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信息化项目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市场需求调研报名登记表</w:t>
      </w:r>
      <w:bookmarkStart w:id="0" w:name="_GoBack"/>
      <w:bookmarkEnd w:id="0"/>
    </w:p>
    <w:tbl>
      <w:tblPr>
        <w:tblStyle w:val="5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2169"/>
        <w:gridCol w:w="2068"/>
        <w:gridCol w:w="1434"/>
      </w:tblGrid>
      <w:tr w14:paraId="3D1E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报价人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  <w:p w14:paraId="2490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（全称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加盖公章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 w14:paraId="1221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报价人所属类型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2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总集单位</w:t>
            </w:r>
          </w:p>
          <w:p w14:paraId="36AE9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（ ）生产企业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32A1B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系统软件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代理商</w:t>
            </w:r>
          </w:p>
        </w:tc>
      </w:tr>
      <w:tr w14:paraId="555F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250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373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43E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D4B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920"/>
              <w:jc w:val="both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17AC7282"/>
    <w:p w14:paraId="72238BFF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3D536B"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5E90530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台州市立医院二期工程网络设备采购清单</w:t>
      </w:r>
    </w:p>
    <w:tbl>
      <w:tblPr>
        <w:tblStyle w:val="5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760"/>
        <w:gridCol w:w="829"/>
        <w:gridCol w:w="1463"/>
      </w:tblGrid>
      <w:tr w14:paraId="0E3E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是否满足</w:t>
            </w:r>
          </w:p>
        </w:tc>
      </w:tr>
      <w:tr w14:paraId="4E7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有线内网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51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9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内网核心交换机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1.交换容量≥1900Tbps，包转发率≥460800Mpps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2.主控引擎与交换网板物理分离；主控引擎≥2；独立交换网板≥4，独立业务插槽≥8；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3.配置：双主控、四块电源、四块交换网板、≥96万兆光口、≥48千兆电口、≥12个40GE光口，1根3M 40G高速堆叠线缆.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1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无线网核心交换机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1.交换容量≥102.4Tbps，包转发率≥76800Mpps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2.主控引擎≥2；整机业务板槽位数≥4，主控槽位与业务线卡槽位宽度相同，为全宽槽位；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3.支持颗粒化电源，整机电源槽位数≥6，为了维护方便，所有主控、交换及业务板卡都是前维护；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4.配置：双主控、双电源、≥64万兆光口、≥2个100GE光口、≥48个千兆电口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2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内网楼栋汇聚交换机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1.交换容量：交换容量≥4.8T，包转发率≥2000Mpps（若存在双指标，以官网最小指标为准），提供官网截图证明；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2.硬件接口：提供48个万兆光口，6个40G QSFP+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8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无线网汇聚交换机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1.交换容量：交换容量≥4.8T，包转发率≥2000Mpps（若存在双指标，以官网最小指标为准），提供官网截图证明；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2.硬件接口：提供48个万兆光口，6个40G QSFP+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F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SDN平台授权扩容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6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本次扩容≥550个网络设备管理授权，≥825个无线管理授权，≥5000个并发在线终端数授权；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4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F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内网48口千兆接入交换机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1.交换容量：交换容量≥670Gbps，包转发率≥200Mpps；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2.硬件接口：千兆电口≥48，万兆SFP+≥6；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7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内网24口千兆POE无线网接入交换机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1.交换容量：交换容量≥670Gbps，包转发率≥120Mpps；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2.硬件接口：千兆POE+电口≥24，万兆SFP+≥6；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A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内网吸顶AP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7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1.支持802.11be标准,支持两射频，2（2.4G）+2（5G）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2.总空间流数4；整机速率≥3.5Gbps，提供官网截图及链接证明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3.支持1个2.5GE自适应以太口；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C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内网面板AP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1.支持802.11be标准,支持两射频，2（2.4G）+2（5G）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2.总空间流数4；整机速率≥3.5Gbps，提供官网截图及链接证明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3.支持1*2.5GE电口+4*GE电；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8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内网高密AP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1.支持802.11be标准,支持三射频，2（2.4G）+2（5G）+4（5G）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2.总空间流数4；整机速率≥9.3Gbps，提供官网截图及链接证明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3.支持1x5GE电+1xGE电；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F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无线授权扩容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1.无线授权扩容，要求与现网无线控制器无缝对接，本次扩容无线AP资源授权一共1024个,若无法扩容需提供完整的一期二期高可靠SDN方案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5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7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有线外网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4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B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外网核心交换机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1.交换容量≥102.4Tbps，包转发率≥76800Mpps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2.主控引擎≥2；整机业务板槽位数≥4，主控槽位与业务线卡槽位宽度相同，为全宽槽位；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3.支持颗粒化电源，整机电源槽位数≥6，为了维护方便，所有主控、交换及业务板卡都是前维护；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4.配置：双主控、双电源、≥64万兆光口、≥48个千兆电口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5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4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外网楼栋汇聚交换机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1.交换容量：交换容量≥4.8T，包转发率≥2000Mpps（若存在双指标，以官网最小指标为准），提供官网截图证明；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2.硬件接口：提供48个万兆光口，6个40/100G光口，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3.硬件要求：为了提高设备散热性能，支持可插拔风扇，实配可插拔风扇≥2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4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外网24口千兆接入交换机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1.交换容量：交换容量≥670Gbps，包转发率≥200Mpps；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2.硬件接口：千兆电口≥48，万兆SFP+≥6；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E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万兆单模模块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光模块-SFP+-10G-单模模块(1310nm,10km,LC)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F36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A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8C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C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设备网楼栋汇聚交换机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6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1.交换容量：交换容量≥4.8T，包转发率≥2000Mpps（若存在双指标，以官网最小指标为准），提供官网截图证明；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2.硬件接口：提供48个万兆光口，6个40/100G光口，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3.硬件要求：为了提高设备散热性能，支持可插拔风扇，实配可插拔风扇≥2，提供产品截图证明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C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24口千兆POE监控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D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1.交换容量：交换容量≥670Gbps，包转发率≥120Mpps；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2.硬件接口：千兆POE+电口≥24，万兆SFP+≥6；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6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3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1.交换容量：交换容量≥670Gbps，包转发率≥120Mpps；（若存在双指标，以官网最小指标为准），提供官网截图证明；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2.硬件接口：千兆电口≥24，千兆SFP+≥4；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C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24口千兆POE物联网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1.交换容量：交换容量≥670Gbps，包转发率≥120Mpps；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2.硬件接口：千兆POE+电口≥24，万兆SFP+≥6；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8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8口千兆POE监控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1.交换容量：交换容量≥670Gbps，包转发率≥100Mpps；（若存在双指标，以官网最小指标为准），提供官网截图证明；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2.硬件接口：千兆电口≥8，千兆SFP+≥4；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B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1.交换容量：交换容量≥670Gbps，包转发率≥100Mpps；（若存在双指标，以官网最小指标为准），提供官网截图证明；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2.硬件接口：千兆电口≥8，千兆SFP+≥4；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A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设备网网48口千兆接入交换机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1.交换容量：交换容量≥670Gbps，包转发率≥200Mpps；（若存在双指标，以官网最小指标为准），提供官网截图证明；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2.硬件接口：千兆电口≥48，万兆SFP+≥4；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7FE3C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3D146EA"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br w:type="page"/>
      </w:r>
    </w:p>
    <w:p w14:paraId="17EB9B84">
      <w:pPr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附件三：调研应答内容</w:t>
      </w:r>
    </w:p>
    <w:tbl>
      <w:tblPr>
        <w:tblStyle w:val="6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3704"/>
        <w:gridCol w:w="2227"/>
      </w:tblGrid>
      <w:tr w14:paraId="3CC9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63" w:type="dxa"/>
          </w:tcPr>
          <w:p w14:paraId="502CA75B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704" w:type="dxa"/>
          </w:tcPr>
          <w:p w14:paraId="675FBC9A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应答</w:t>
            </w:r>
          </w:p>
        </w:tc>
        <w:tc>
          <w:tcPr>
            <w:tcW w:w="2227" w:type="dxa"/>
          </w:tcPr>
          <w:p w14:paraId="72DD6C1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7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63" w:type="dxa"/>
          </w:tcPr>
          <w:p w14:paraId="16F3F7DA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设备质保期</w:t>
            </w:r>
          </w:p>
        </w:tc>
        <w:tc>
          <w:tcPr>
            <w:tcW w:w="3704" w:type="dxa"/>
          </w:tcPr>
          <w:p w14:paraId="367110EF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61D904D0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5年</w:t>
            </w:r>
          </w:p>
        </w:tc>
      </w:tr>
      <w:tr w14:paraId="1F70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0F08C0E5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是否能与一期网络设备统管</w:t>
            </w:r>
          </w:p>
        </w:tc>
        <w:tc>
          <w:tcPr>
            <w:tcW w:w="3704" w:type="dxa"/>
          </w:tcPr>
          <w:p w14:paraId="22AFB1B9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52568E22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填是或否</w:t>
            </w:r>
          </w:p>
        </w:tc>
      </w:tr>
      <w:tr w14:paraId="084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54C0C47D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所有设备是否满足国产化、信创要求</w:t>
            </w:r>
          </w:p>
        </w:tc>
        <w:tc>
          <w:tcPr>
            <w:tcW w:w="3704" w:type="dxa"/>
          </w:tcPr>
          <w:p w14:paraId="01B2EFF1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1C778595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填是或否</w:t>
            </w:r>
          </w:p>
        </w:tc>
      </w:tr>
      <w:tr w14:paraId="7CDB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2CB77142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3704" w:type="dxa"/>
          </w:tcPr>
          <w:p w14:paraId="5AE26D8B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3D37355C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0C42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30BBD3A9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集成报价</w:t>
            </w:r>
          </w:p>
        </w:tc>
        <w:tc>
          <w:tcPr>
            <w:tcW w:w="3704" w:type="dxa"/>
          </w:tcPr>
          <w:p w14:paraId="5BDEC7F3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4AAE317C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3F4A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50EC7FFF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3704" w:type="dxa"/>
          </w:tcPr>
          <w:p w14:paraId="633A3923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6211ACCF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1DA9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19B8CEF0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报价是否包含一期建设网络设备的续保三年费用</w:t>
            </w:r>
          </w:p>
        </w:tc>
        <w:tc>
          <w:tcPr>
            <w:tcW w:w="3704" w:type="dxa"/>
          </w:tcPr>
          <w:p w14:paraId="4E72DE51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784B3442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填是或否</w:t>
            </w:r>
          </w:p>
        </w:tc>
      </w:tr>
      <w:tr w14:paraId="094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3" w:type="dxa"/>
          </w:tcPr>
          <w:p w14:paraId="781D8E69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过保后的维保费点</w:t>
            </w:r>
          </w:p>
        </w:tc>
        <w:tc>
          <w:tcPr>
            <w:tcW w:w="3704" w:type="dxa"/>
          </w:tcPr>
          <w:p w14:paraId="7DE3DFFD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</w:tcPr>
          <w:p w14:paraId="58393413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以设备报价为准</w:t>
            </w:r>
          </w:p>
        </w:tc>
      </w:tr>
    </w:tbl>
    <w:p w14:paraId="3A4F7AC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1559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91D13"/>
    <w:rsid w:val="007169FC"/>
    <w:rsid w:val="35FC631B"/>
    <w:rsid w:val="4EA91D13"/>
    <w:rsid w:val="572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99"/>
    <w:pPr>
      <w:spacing w:after="0" w:line="480" w:lineRule="atLeast"/>
      <w:ind w:firstLine="420" w:firstLineChars="100"/>
    </w:pPr>
    <w:rPr>
      <w:rFonts w:ascii="??_GB2312" w:hAnsi="Times New Roman" w:eastAsia="宋体" w:cs="Times New Roman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2026-02-04T12:19:00Z</dcterms:created>
  <dc:creator>陈雄伟</dc:creator>
  <cp:lastModifiedBy>陈雄伟</cp:lastModifiedBy>
  <dcterms:modified xsi:type="dcterms:W3CDTF">2026-02-04T12:33:23Z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59AE2490F15D40CD958D8C60EC034FAF_11</vt:lpwstr>
  </property>
  <property fmtid="{D5CDD505-2E9C-101B-9397-08002B2CF9AE}" pid="4" name="KSOTemplateDocerSaveRecord">
    <vt:lpwstr>eyJoZGlkIjoiNDM5Nzc4NWE5NWU2MWJiYjRhYWVmOTE0MjAzYjE0ZjIiLCJ1c2VySWQiOiIzMjQ4MzQxNTYifQ==</vt:lpwstr>
  </property>
</Properties>
</file>